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5B7F8" w14:textId="77777777" w:rsidR="004571B9" w:rsidRDefault="004571B9" w:rsidP="004571B9">
      <w:pPr>
        <w:spacing w:before="240" w:after="240" w:line="280" w:lineRule="exact"/>
        <w:rPr>
          <w:rFonts w:ascii="Arial" w:hAnsi="Arial" w:cs="Arial"/>
          <w:b/>
          <w:sz w:val="28"/>
          <w:szCs w:val="28"/>
        </w:rPr>
      </w:pPr>
    </w:p>
    <w:p w14:paraId="6EA9B2FC" w14:textId="172C94E2" w:rsidR="00E36259" w:rsidRDefault="00E4028D" w:rsidP="0090119F">
      <w:pPr>
        <w:spacing w:before="240" w:after="240" w:line="280" w:lineRule="exact"/>
        <w:rPr>
          <w:rFonts w:ascii="Arial" w:hAnsi="Arial" w:cs="Arial"/>
          <w:b/>
          <w:sz w:val="28"/>
          <w:szCs w:val="28"/>
        </w:rPr>
      </w:pPr>
      <w:r>
        <w:rPr>
          <w:rFonts w:ascii="Arial" w:hAnsi="Arial" w:cs="Arial"/>
          <w:b/>
          <w:sz w:val="28"/>
          <w:szCs w:val="28"/>
        </w:rPr>
        <w:t>Strategic Supplier Relationship Management</w:t>
      </w:r>
    </w:p>
    <w:p w14:paraId="24585ECC" w14:textId="77777777" w:rsidR="00E36259" w:rsidRDefault="00E36259" w:rsidP="0090119F">
      <w:pPr>
        <w:spacing w:before="240" w:after="240" w:line="280" w:lineRule="exact"/>
        <w:rPr>
          <w:rFonts w:ascii="Arial" w:hAnsi="Arial" w:cs="Arial"/>
          <w:b/>
        </w:rPr>
      </w:pPr>
    </w:p>
    <w:p w14:paraId="1E030B5C" w14:textId="384E3B12" w:rsidR="004571B9" w:rsidRPr="00E36259" w:rsidRDefault="0090119F" w:rsidP="00E36259">
      <w:pPr>
        <w:spacing w:before="240" w:after="240" w:line="280" w:lineRule="exact"/>
        <w:rPr>
          <w:rFonts w:ascii="Arial" w:hAnsi="Arial" w:cs="Arial"/>
          <w:b/>
          <w:sz w:val="22"/>
          <w:szCs w:val="22"/>
        </w:rPr>
      </w:pPr>
      <w:r w:rsidRPr="00E36259">
        <w:rPr>
          <w:rFonts w:ascii="Arial" w:hAnsi="Arial" w:cs="Arial"/>
          <w:b/>
          <w:sz w:val="22"/>
          <w:szCs w:val="22"/>
        </w:rPr>
        <w:t>P</w:t>
      </w:r>
      <w:r w:rsidR="004571B9" w:rsidRPr="00E36259">
        <w:rPr>
          <w:rFonts w:ascii="Arial" w:hAnsi="Arial" w:cs="Arial"/>
          <w:b/>
          <w:sz w:val="22"/>
          <w:szCs w:val="22"/>
        </w:rPr>
        <w:t xml:space="preserve">urpose </w:t>
      </w:r>
    </w:p>
    <w:p w14:paraId="75D77932" w14:textId="1D69106F" w:rsidR="004571B9" w:rsidRPr="00E36259" w:rsidRDefault="004571B9" w:rsidP="004571B9">
      <w:pPr>
        <w:rPr>
          <w:rFonts w:ascii="Arial" w:hAnsi="Arial" w:cs="Arial"/>
          <w:b/>
          <w:sz w:val="22"/>
          <w:szCs w:val="22"/>
        </w:rPr>
      </w:pPr>
      <w:r w:rsidRPr="00E36259">
        <w:rPr>
          <w:rFonts w:ascii="Arial" w:hAnsi="Arial" w:cs="Arial"/>
          <w:sz w:val="22"/>
          <w:szCs w:val="22"/>
        </w:rPr>
        <w:t>For</w:t>
      </w:r>
      <w:r w:rsidR="00AC768F" w:rsidRPr="00E36259">
        <w:rPr>
          <w:rFonts w:ascii="Arial" w:hAnsi="Arial" w:cs="Arial"/>
          <w:sz w:val="22"/>
          <w:szCs w:val="22"/>
        </w:rPr>
        <w:t xml:space="preserve"> update and</w:t>
      </w:r>
      <w:r w:rsidRPr="00E36259">
        <w:rPr>
          <w:rFonts w:ascii="Arial" w:hAnsi="Arial" w:cs="Arial"/>
          <w:sz w:val="22"/>
          <w:szCs w:val="22"/>
        </w:rPr>
        <w:t xml:space="preserve"> d</w:t>
      </w:r>
      <w:r w:rsidR="006F500E" w:rsidRPr="00E36259">
        <w:rPr>
          <w:rFonts w:ascii="Arial" w:hAnsi="Arial" w:cs="Arial"/>
          <w:sz w:val="22"/>
          <w:szCs w:val="22"/>
        </w:rPr>
        <w:t>iscussion</w:t>
      </w:r>
      <w:r w:rsidR="00E36259" w:rsidRPr="00E36259">
        <w:rPr>
          <w:rFonts w:ascii="Arial" w:hAnsi="Arial" w:cs="Arial"/>
          <w:sz w:val="22"/>
          <w:szCs w:val="22"/>
        </w:rPr>
        <w:t>.</w:t>
      </w:r>
    </w:p>
    <w:p w14:paraId="66517CE1" w14:textId="77777777" w:rsidR="004571B9" w:rsidRPr="00E36259" w:rsidRDefault="004571B9" w:rsidP="004571B9">
      <w:pPr>
        <w:rPr>
          <w:rFonts w:ascii="Arial" w:hAnsi="Arial" w:cs="Arial"/>
          <w:b/>
          <w:sz w:val="22"/>
          <w:szCs w:val="22"/>
        </w:rPr>
      </w:pPr>
    </w:p>
    <w:p w14:paraId="5F30BE8B" w14:textId="77777777" w:rsidR="004571B9" w:rsidRPr="00E36259" w:rsidRDefault="004571B9" w:rsidP="004571B9">
      <w:pPr>
        <w:rPr>
          <w:rFonts w:ascii="Arial" w:hAnsi="Arial" w:cs="Arial"/>
          <w:sz w:val="22"/>
          <w:szCs w:val="22"/>
        </w:rPr>
      </w:pPr>
      <w:r w:rsidRPr="00E36259">
        <w:rPr>
          <w:rFonts w:ascii="Arial" w:hAnsi="Arial" w:cs="Arial"/>
          <w:b/>
          <w:sz w:val="22"/>
          <w:szCs w:val="22"/>
        </w:rPr>
        <w:t>Summary</w:t>
      </w:r>
    </w:p>
    <w:p w14:paraId="6C0ACF88" w14:textId="77777777" w:rsidR="004571B9" w:rsidRPr="00E36259" w:rsidRDefault="004571B9" w:rsidP="004571B9">
      <w:pPr>
        <w:rPr>
          <w:rFonts w:ascii="Arial" w:hAnsi="Arial" w:cs="Arial"/>
          <w:sz w:val="22"/>
          <w:szCs w:val="22"/>
        </w:rPr>
      </w:pPr>
    </w:p>
    <w:p w14:paraId="75C889F7" w14:textId="3CAA60E5" w:rsidR="00E4028D" w:rsidRPr="00E36259" w:rsidRDefault="00D91120" w:rsidP="004571B9">
      <w:pPr>
        <w:rPr>
          <w:rFonts w:ascii="Arial" w:hAnsi="Arial" w:cs="Arial"/>
          <w:sz w:val="22"/>
          <w:szCs w:val="22"/>
        </w:rPr>
      </w:pPr>
      <w:r w:rsidRPr="00E36259">
        <w:rPr>
          <w:rFonts w:ascii="Arial" w:hAnsi="Arial" w:cs="Arial"/>
          <w:sz w:val="22"/>
          <w:szCs w:val="22"/>
        </w:rPr>
        <w:t xml:space="preserve">Following agreement from </w:t>
      </w:r>
      <w:r w:rsidR="00FB1531" w:rsidRPr="00E36259">
        <w:rPr>
          <w:rFonts w:ascii="Arial" w:hAnsi="Arial" w:cs="Arial"/>
          <w:sz w:val="22"/>
          <w:szCs w:val="22"/>
        </w:rPr>
        <w:t xml:space="preserve">the </w:t>
      </w:r>
      <w:r w:rsidRPr="00E36259">
        <w:rPr>
          <w:rFonts w:ascii="Arial" w:hAnsi="Arial" w:cs="Arial"/>
          <w:sz w:val="22"/>
          <w:szCs w:val="22"/>
        </w:rPr>
        <w:t>I</w:t>
      </w:r>
      <w:r w:rsidR="00FB1531" w:rsidRPr="00E36259">
        <w:rPr>
          <w:rFonts w:ascii="Arial" w:hAnsi="Arial" w:cs="Arial"/>
          <w:sz w:val="22"/>
          <w:szCs w:val="22"/>
        </w:rPr>
        <w:t xml:space="preserve">mprovement and Innovation </w:t>
      </w:r>
      <w:r w:rsidRPr="00E36259">
        <w:rPr>
          <w:rFonts w:ascii="Arial" w:hAnsi="Arial" w:cs="Arial"/>
          <w:sz w:val="22"/>
          <w:szCs w:val="22"/>
        </w:rPr>
        <w:t>Board in March 2018 and in</w:t>
      </w:r>
      <w:r w:rsidR="00E4028D" w:rsidRPr="00E36259">
        <w:rPr>
          <w:rFonts w:ascii="Arial" w:hAnsi="Arial" w:cs="Arial"/>
          <w:sz w:val="22"/>
          <w:szCs w:val="22"/>
        </w:rPr>
        <w:t xml:space="preserve"> light of the fall-out from the collapse of Carillion, we have been </w:t>
      </w:r>
      <w:r w:rsidRPr="00E36259">
        <w:rPr>
          <w:rFonts w:ascii="Arial" w:hAnsi="Arial" w:cs="Arial"/>
          <w:sz w:val="22"/>
          <w:szCs w:val="22"/>
        </w:rPr>
        <w:t xml:space="preserve">working with a number of key suppliers to local government to see if we can work together </w:t>
      </w:r>
      <w:r w:rsidR="00FB1531" w:rsidRPr="00E36259">
        <w:rPr>
          <w:rFonts w:ascii="Arial" w:hAnsi="Arial" w:cs="Arial"/>
          <w:sz w:val="22"/>
          <w:szCs w:val="22"/>
        </w:rPr>
        <w:t xml:space="preserve">to develop </w:t>
      </w:r>
      <w:r w:rsidRPr="00E36259">
        <w:rPr>
          <w:rFonts w:ascii="Arial" w:hAnsi="Arial" w:cs="Arial"/>
          <w:sz w:val="22"/>
          <w:szCs w:val="22"/>
        </w:rPr>
        <w:t>a more strategic relationship.</w:t>
      </w:r>
      <w:r w:rsidR="00E36259">
        <w:rPr>
          <w:rFonts w:ascii="Arial" w:hAnsi="Arial" w:cs="Arial"/>
          <w:sz w:val="22"/>
          <w:szCs w:val="22"/>
        </w:rPr>
        <w:t xml:space="preserve"> </w:t>
      </w:r>
      <w:r w:rsidR="00E4028D" w:rsidRPr="00E36259">
        <w:rPr>
          <w:rFonts w:ascii="Arial" w:hAnsi="Arial" w:cs="Arial"/>
          <w:sz w:val="22"/>
          <w:szCs w:val="22"/>
        </w:rPr>
        <w:t xml:space="preserve">This report </w:t>
      </w:r>
      <w:r w:rsidR="00AC768F" w:rsidRPr="00E36259">
        <w:rPr>
          <w:rFonts w:ascii="Arial" w:hAnsi="Arial" w:cs="Arial"/>
          <w:sz w:val="22"/>
          <w:szCs w:val="22"/>
        </w:rPr>
        <w:t>seeks to update the Improvement and Innovation Board on work to date.</w:t>
      </w:r>
      <w:r w:rsidR="00E4028D" w:rsidRPr="00E36259">
        <w:rPr>
          <w:rFonts w:ascii="Arial" w:hAnsi="Arial" w:cs="Arial"/>
          <w:sz w:val="22"/>
          <w:szCs w:val="22"/>
        </w:rPr>
        <w:t xml:space="preserve">  </w:t>
      </w:r>
    </w:p>
    <w:p w14:paraId="2961C8C9" w14:textId="77777777" w:rsidR="00E4028D" w:rsidRPr="00E36259" w:rsidRDefault="00E4028D" w:rsidP="004571B9">
      <w:pPr>
        <w:rPr>
          <w:rFonts w:ascii="Arial" w:hAnsi="Arial" w:cs="Arial"/>
          <w:sz w:val="22"/>
          <w:szCs w:val="22"/>
        </w:rPr>
      </w:pPr>
    </w:p>
    <w:p w14:paraId="27608AD5" w14:textId="77777777" w:rsidR="004571B9" w:rsidRPr="00E36259" w:rsidRDefault="00534313" w:rsidP="004571B9">
      <w:pPr>
        <w:rPr>
          <w:rFonts w:ascii="Arial" w:hAnsi="Arial" w:cs="Arial"/>
          <w:sz w:val="22"/>
          <w:szCs w:val="22"/>
        </w:rPr>
      </w:pPr>
      <w:r w:rsidRPr="00E36259">
        <w:rPr>
          <w:rFonts w:ascii="Arial" w:hAnsi="Arial" w:cs="Arial"/>
          <w:sz w:val="22"/>
          <w:szCs w:val="22"/>
        </w:rPr>
        <w:t>The report also provides further information in relation to procurement matters for councils following Brexit.</w:t>
      </w:r>
    </w:p>
    <w:p w14:paraId="3DBACF9E" w14:textId="77777777" w:rsidR="004571B9" w:rsidRPr="00520A28" w:rsidRDefault="004571B9" w:rsidP="004571B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520A28" w14:paraId="2CD7C3DF" w14:textId="77777777" w:rsidTr="003B5722">
        <w:tc>
          <w:tcPr>
            <w:tcW w:w="9157" w:type="dxa"/>
          </w:tcPr>
          <w:p w14:paraId="42BBA9C1" w14:textId="77777777" w:rsidR="004571B9" w:rsidRPr="00520A28" w:rsidRDefault="004571B9" w:rsidP="004571B9">
            <w:pPr>
              <w:rPr>
                <w:rFonts w:ascii="Arial" w:hAnsi="Arial" w:cs="Arial"/>
                <w:b/>
              </w:rPr>
            </w:pPr>
          </w:p>
          <w:p w14:paraId="346C2449" w14:textId="77777777" w:rsidR="004571B9" w:rsidRPr="00E36259" w:rsidRDefault="00010011" w:rsidP="004571B9">
            <w:pPr>
              <w:rPr>
                <w:rFonts w:ascii="Arial" w:hAnsi="Arial" w:cs="Arial"/>
                <w:b/>
                <w:sz w:val="22"/>
              </w:rPr>
            </w:pPr>
            <w:r w:rsidRPr="00E36259">
              <w:rPr>
                <w:rFonts w:ascii="Arial" w:hAnsi="Arial" w:cs="Arial"/>
                <w:b/>
                <w:sz w:val="22"/>
              </w:rPr>
              <w:t>Recommendation</w:t>
            </w:r>
          </w:p>
          <w:p w14:paraId="33B8CFD3" w14:textId="77777777" w:rsidR="004571B9" w:rsidRPr="00E36259" w:rsidRDefault="004571B9" w:rsidP="004571B9">
            <w:pPr>
              <w:rPr>
                <w:rFonts w:ascii="Arial" w:hAnsi="Arial" w:cs="Arial"/>
                <w:sz w:val="22"/>
              </w:rPr>
            </w:pPr>
          </w:p>
          <w:p w14:paraId="54099A2F" w14:textId="77777777" w:rsidR="006F500E" w:rsidRPr="00E36259" w:rsidRDefault="00FB1531" w:rsidP="001C203A">
            <w:pPr>
              <w:rPr>
                <w:rFonts w:ascii="Arial" w:hAnsi="Arial" w:cs="Arial"/>
                <w:sz w:val="22"/>
              </w:rPr>
            </w:pPr>
            <w:r w:rsidRPr="00E36259">
              <w:rPr>
                <w:rFonts w:ascii="Arial" w:hAnsi="Arial" w:cs="Arial"/>
                <w:sz w:val="22"/>
              </w:rPr>
              <w:t xml:space="preserve">Members are asked to consider </w:t>
            </w:r>
            <w:r w:rsidR="006F500E" w:rsidRPr="00E36259">
              <w:rPr>
                <w:rFonts w:ascii="Arial" w:hAnsi="Arial" w:cs="Arial"/>
                <w:sz w:val="22"/>
              </w:rPr>
              <w:t>the report</w:t>
            </w:r>
            <w:r w:rsidRPr="00E36259">
              <w:rPr>
                <w:rFonts w:ascii="Arial" w:hAnsi="Arial" w:cs="Arial"/>
                <w:sz w:val="22"/>
              </w:rPr>
              <w:t xml:space="preserve"> and to ask for a further update on Brexit matters at the meeting</w:t>
            </w:r>
            <w:r w:rsidR="00E4028D" w:rsidRPr="00E36259">
              <w:rPr>
                <w:rFonts w:ascii="Arial" w:hAnsi="Arial" w:cs="Arial"/>
                <w:sz w:val="22"/>
              </w:rPr>
              <w:t xml:space="preserve">. </w:t>
            </w:r>
          </w:p>
          <w:p w14:paraId="0F6CD053" w14:textId="77777777" w:rsidR="004571B9" w:rsidRPr="00E36259" w:rsidRDefault="004571B9" w:rsidP="004571B9">
            <w:pPr>
              <w:rPr>
                <w:rFonts w:ascii="Arial" w:hAnsi="Arial" w:cs="Arial"/>
                <w:sz w:val="22"/>
              </w:rPr>
            </w:pPr>
          </w:p>
          <w:p w14:paraId="5C80AC0F" w14:textId="4B9AE623" w:rsidR="004571B9" w:rsidRPr="00E36259" w:rsidRDefault="006E3AE8" w:rsidP="004571B9">
            <w:pPr>
              <w:rPr>
                <w:rFonts w:ascii="Arial" w:hAnsi="Arial" w:cs="Arial"/>
                <w:b/>
                <w:sz w:val="22"/>
              </w:rPr>
            </w:pPr>
            <w:r>
              <w:rPr>
                <w:rFonts w:ascii="Arial" w:hAnsi="Arial" w:cs="Arial"/>
                <w:b/>
                <w:sz w:val="22"/>
              </w:rPr>
              <w:t>Action</w:t>
            </w:r>
            <w:r w:rsidR="004571B9" w:rsidRPr="00E36259">
              <w:rPr>
                <w:rFonts w:ascii="Arial" w:hAnsi="Arial" w:cs="Arial"/>
                <w:b/>
                <w:sz w:val="22"/>
              </w:rPr>
              <w:t>s</w:t>
            </w:r>
          </w:p>
          <w:p w14:paraId="4F55A639" w14:textId="77777777" w:rsidR="004571B9" w:rsidRPr="00E36259" w:rsidRDefault="004571B9" w:rsidP="004571B9">
            <w:pPr>
              <w:rPr>
                <w:rFonts w:ascii="Arial" w:hAnsi="Arial" w:cs="Arial"/>
                <w:b/>
                <w:sz w:val="22"/>
              </w:rPr>
            </w:pPr>
          </w:p>
          <w:p w14:paraId="23D6AC54" w14:textId="77777777" w:rsidR="004571B9" w:rsidRPr="00E36259" w:rsidRDefault="001C203A" w:rsidP="004571B9">
            <w:pPr>
              <w:rPr>
                <w:rFonts w:ascii="Arial" w:hAnsi="Arial" w:cs="Arial"/>
                <w:sz w:val="22"/>
              </w:rPr>
            </w:pPr>
            <w:r w:rsidRPr="00E36259">
              <w:rPr>
                <w:rFonts w:ascii="Arial" w:hAnsi="Arial" w:cs="Arial"/>
                <w:sz w:val="22"/>
              </w:rPr>
              <w:t>Officers to initiate any required action</w:t>
            </w:r>
            <w:r w:rsidR="00B034C3" w:rsidRPr="00E36259">
              <w:rPr>
                <w:rFonts w:ascii="Arial" w:hAnsi="Arial" w:cs="Arial"/>
                <w:sz w:val="22"/>
              </w:rPr>
              <w:t>.</w:t>
            </w:r>
          </w:p>
          <w:p w14:paraId="7D9DE143" w14:textId="77777777" w:rsidR="004571B9" w:rsidRPr="00520A28" w:rsidRDefault="004571B9" w:rsidP="004571B9">
            <w:pPr>
              <w:rPr>
                <w:rFonts w:ascii="Arial" w:hAnsi="Arial" w:cs="Arial"/>
                <w:b/>
              </w:rPr>
            </w:pPr>
          </w:p>
        </w:tc>
      </w:tr>
    </w:tbl>
    <w:p w14:paraId="6C8217A7" w14:textId="77777777" w:rsidR="004571B9" w:rsidRPr="00520A28" w:rsidRDefault="004571B9" w:rsidP="004571B9">
      <w:pPr>
        <w:rPr>
          <w:rFonts w:ascii="Arial" w:hAnsi="Arial" w:cs="Arial"/>
        </w:rPr>
      </w:pPr>
    </w:p>
    <w:p w14:paraId="55D2531C" w14:textId="77777777" w:rsidR="004571B9" w:rsidRPr="00520A28" w:rsidRDefault="004571B9" w:rsidP="004571B9">
      <w:pPr>
        <w:rPr>
          <w:rFonts w:ascii="Arial" w:hAnsi="Arial" w:cs="Arial"/>
        </w:rPr>
      </w:pPr>
    </w:p>
    <w:p w14:paraId="00CB3351" w14:textId="77777777" w:rsidR="004571B9" w:rsidRDefault="004571B9" w:rsidP="004571B9">
      <w:pPr>
        <w:rPr>
          <w:rFonts w:ascii="Arial" w:hAnsi="Arial" w:cs="Arial"/>
        </w:rPr>
      </w:pPr>
    </w:p>
    <w:p w14:paraId="0E7C4B3F" w14:textId="77777777" w:rsidR="006F500E" w:rsidRDefault="006F500E" w:rsidP="004571B9">
      <w:pPr>
        <w:rPr>
          <w:rFonts w:ascii="Arial" w:hAnsi="Arial" w:cs="Arial"/>
        </w:rPr>
      </w:pPr>
    </w:p>
    <w:p w14:paraId="515F78CB" w14:textId="77777777" w:rsidR="006F500E" w:rsidRPr="00520A28" w:rsidRDefault="006F500E" w:rsidP="004571B9">
      <w:pPr>
        <w:rPr>
          <w:rFonts w:ascii="Arial" w:hAnsi="Arial" w:cs="Arial"/>
        </w:rPr>
      </w:pPr>
    </w:p>
    <w:tbl>
      <w:tblPr>
        <w:tblStyle w:val="TableGrid"/>
        <w:tblW w:w="5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2976"/>
      </w:tblGrid>
      <w:tr w:rsidR="00B90934" w:rsidRPr="00E36259" w14:paraId="7D651645" w14:textId="77777777" w:rsidTr="00E4028D">
        <w:tc>
          <w:tcPr>
            <w:tcW w:w="2635" w:type="dxa"/>
          </w:tcPr>
          <w:p w14:paraId="0E2B6828" w14:textId="1721F221" w:rsidR="00B90934" w:rsidRPr="00E36259" w:rsidRDefault="00B90934" w:rsidP="004571B9">
            <w:pPr>
              <w:spacing w:before="120"/>
              <w:rPr>
                <w:rFonts w:ascii="Arial" w:hAnsi="Arial" w:cs="Arial"/>
                <w:b/>
                <w:sz w:val="22"/>
              </w:rPr>
            </w:pPr>
            <w:r w:rsidRPr="00E36259">
              <w:rPr>
                <w:rFonts w:ascii="Arial" w:hAnsi="Arial" w:cs="Arial"/>
                <w:b/>
                <w:sz w:val="22"/>
              </w:rPr>
              <w:t>Lead Member</w:t>
            </w:r>
          </w:p>
        </w:tc>
        <w:tc>
          <w:tcPr>
            <w:tcW w:w="2976" w:type="dxa"/>
          </w:tcPr>
          <w:p w14:paraId="32478925" w14:textId="0C5299BC" w:rsidR="00B90934" w:rsidRPr="00E36259" w:rsidRDefault="00B90934" w:rsidP="004571B9">
            <w:pPr>
              <w:spacing w:before="120"/>
              <w:rPr>
                <w:rFonts w:ascii="Arial" w:hAnsi="Arial" w:cs="Arial"/>
                <w:sz w:val="22"/>
              </w:rPr>
            </w:pPr>
            <w:r w:rsidRPr="00E36259">
              <w:rPr>
                <w:rFonts w:ascii="Arial" w:hAnsi="Arial" w:cs="Arial"/>
                <w:sz w:val="22"/>
              </w:rPr>
              <w:t>Cllr Ron Woodley</w:t>
            </w:r>
          </w:p>
        </w:tc>
      </w:tr>
      <w:tr w:rsidR="00E4028D" w:rsidRPr="00E36259" w14:paraId="02CA7CB1" w14:textId="77777777" w:rsidTr="00E4028D">
        <w:tc>
          <w:tcPr>
            <w:tcW w:w="2635" w:type="dxa"/>
          </w:tcPr>
          <w:p w14:paraId="56A9DEF8" w14:textId="77777777" w:rsidR="00E4028D" w:rsidRPr="00E36259" w:rsidRDefault="00E4028D" w:rsidP="004571B9">
            <w:pPr>
              <w:spacing w:before="120"/>
              <w:rPr>
                <w:rFonts w:ascii="Arial" w:hAnsi="Arial" w:cs="Arial"/>
                <w:sz w:val="22"/>
              </w:rPr>
            </w:pPr>
            <w:r w:rsidRPr="00E36259">
              <w:rPr>
                <w:rFonts w:ascii="Arial" w:hAnsi="Arial" w:cs="Arial"/>
                <w:b/>
                <w:sz w:val="22"/>
              </w:rPr>
              <w:t>Contact officer:</w:t>
            </w:r>
            <w:r w:rsidRPr="00E36259">
              <w:rPr>
                <w:rFonts w:ascii="Arial" w:hAnsi="Arial" w:cs="Arial"/>
                <w:sz w:val="22"/>
              </w:rPr>
              <w:t xml:space="preserve"> </w:t>
            </w:r>
          </w:p>
        </w:tc>
        <w:tc>
          <w:tcPr>
            <w:tcW w:w="2976" w:type="dxa"/>
          </w:tcPr>
          <w:p w14:paraId="4DDBC2BC" w14:textId="77777777" w:rsidR="00E4028D" w:rsidRPr="00E36259" w:rsidRDefault="00E4028D" w:rsidP="004571B9">
            <w:pPr>
              <w:spacing w:before="120"/>
              <w:rPr>
                <w:rFonts w:ascii="Arial" w:hAnsi="Arial" w:cs="Arial"/>
                <w:sz w:val="22"/>
              </w:rPr>
            </w:pPr>
            <w:r w:rsidRPr="00E36259">
              <w:rPr>
                <w:rFonts w:ascii="Arial" w:hAnsi="Arial" w:cs="Arial"/>
                <w:sz w:val="22"/>
              </w:rPr>
              <w:t>Tina Holland</w:t>
            </w:r>
          </w:p>
        </w:tc>
      </w:tr>
      <w:tr w:rsidR="00E4028D" w:rsidRPr="00E36259" w14:paraId="415FC1F6" w14:textId="77777777" w:rsidTr="00E4028D">
        <w:tc>
          <w:tcPr>
            <w:tcW w:w="2635" w:type="dxa"/>
          </w:tcPr>
          <w:p w14:paraId="2D1E5656" w14:textId="77777777" w:rsidR="00E4028D" w:rsidRPr="00E36259" w:rsidRDefault="00E4028D" w:rsidP="004571B9">
            <w:pPr>
              <w:spacing w:before="120"/>
              <w:rPr>
                <w:rFonts w:ascii="Arial" w:hAnsi="Arial" w:cs="Arial"/>
                <w:b/>
                <w:sz w:val="22"/>
              </w:rPr>
            </w:pPr>
            <w:r w:rsidRPr="00E36259">
              <w:rPr>
                <w:rFonts w:ascii="Arial" w:hAnsi="Arial" w:cs="Arial"/>
                <w:b/>
                <w:sz w:val="22"/>
              </w:rPr>
              <w:t>Position:</w:t>
            </w:r>
          </w:p>
        </w:tc>
        <w:tc>
          <w:tcPr>
            <w:tcW w:w="2976" w:type="dxa"/>
          </w:tcPr>
          <w:p w14:paraId="7FE2F862" w14:textId="77777777" w:rsidR="00E4028D" w:rsidRPr="00E36259" w:rsidRDefault="00D91120" w:rsidP="004571B9">
            <w:pPr>
              <w:spacing w:before="120"/>
              <w:rPr>
                <w:rFonts w:ascii="Arial" w:hAnsi="Arial" w:cs="Arial"/>
                <w:sz w:val="22"/>
              </w:rPr>
            </w:pPr>
            <w:r w:rsidRPr="00E36259">
              <w:rPr>
                <w:rFonts w:ascii="Arial" w:hAnsi="Arial" w:cs="Arial"/>
                <w:sz w:val="22"/>
              </w:rPr>
              <w:t>Programme Manager</w:t>
            </w:r>
          </w:p>
        </w:tc>
      </w:tr>
      <w:tr w:rsidR="00E4028D" w:rsidRPr="00E36259" w14:paraId="34F50CB3" w14:textId="77777777" w:rsidTr="00E4028D">
        <w:tc>
          <w:tcPr>
            <w:tcW w:w="2635" w:type="dxa"/>
          </w:tcPr>
          <w:p w14:paraId="11A0C5AC" w14:textId="77777777" w:rsidR="00E4028D" w:rsidRPr="00E36259" w:rsidRDefault="00E4028D" w:rsidP="004571B9">
            <w:pPr>
              <w:spacing w:before="120"/>
              <w:rPr>
                <w:rFonts w:ascii="Arial" w:hAnsi="Arial" w:cs="Arial"/>
                <w:b/>
                <w:sz w:val="22"/>
              </w:rPr>
            </w:pPr>
            <w:r w:rsidRPr="00E36259">
              <w:rPr>
                <w:rFonts w:ascii="Arial" w:hAnsi="Arial" w:cs="Arial"/>
                <w:b/>
                <w:sz w:val="22"/>
              </w:rPr>
              <w:t>Phone no:</w:t>
            </w:r>
          </w:p>
        </w:tc>
        <w:tc>
          <w:tcPr>
            <w:tcW w:w="2976" w:type="dxa"/>
          </w:tcPr>
          <w:p w14:paraId="5FCC2003" w14:textId="77777777" w:rsidR="00E4028D" w:rsidRPr="00E36259" w:rsidRDefault="00D91120" w:rsidP="004571B9">
            <w:pPr>
              <w:spacing w:before="120"/>
              <w:rPr>
                <w:rFonts w:ascii="Arial" w:hAnsi="Arial" w:cs="Arial"/>
                <w:sz w:val="22"/>
              </w:rPr>
            </w:pPr>
            <w:r w:rsidRPr="00E36259">
              <w:rPr>
                <w:rFonts w:ascii="Arial" w:hAnsi="Arial" w:cs="Arial"/>
                <w:sz w:val="22"/>
              </w:rPr>
              <w:t>07766 282856</w:t>
            </w:r>
          </w:p>
        </w:tc>
      </w:tr>
      <w:tr w:rsidR="00E4028D" w:rsidRPr="00E36259" w14:paraId="1E9EA239" w14:textId="77777777" w:rsidTr="00E4028D">
        <w:trPr>
          <w:trHeight w:val="507"/>
        </w:trPr>
        <w:tc>
          <w:tcPr>
            <w:tcW w:w="2635" w:type="dxa"/>
          </w:tcPr>
          <w:p w14:paraId="37F5014D" w14:textId="77777777" w:rsidR="00E4028D" w:rsidRPr="00E36259" w:rsidRDefault="00E4028D" w:rsidP="004571B9">
            <w:pPr>
              <w:spacing w:before="120"/>
              <w:rPr>
                <w:rFonts w:ascii="Arial" w:hAnsi="Arial" w:cs="Arial"/>
                <w:b/>
                <w:sz w:val="22"/>
              </w:rPr>
            </w:pPr>
            <w:r w:rsidRPr="00E36259">
              <w:rPr>
                <w:rFonts w:ascii="Arial" w:hAnsi="Arial" w:cs="Arial"/>
                <w:b/>
                <w:sz w:val="22"/>
              </w:rPr>
              <w:t>Email:</w:t>
            </w:r>
          </w:p>
        </w:tc>
        <w:tc>
          <w:tcPr>
            <w:tcW w:w="2976" w:type="dxa"/>
          </w:tcPr>
          <w:p w14:paraId="4D3FAB62" w14:textId="77777777" w:rsidR="00E4028D" w:rsidRPr="00E36259" w:rsidRDefault="00AC768F" w:rsidP="004571B9">
            <w:pPr>
              <w:spacing w:before="120"/>
              <w:rPr>
                <w:rFonts w:ascii="Arial" w:hAnsi="Arial" w:cs="Arial"/>
                <w:sz w:val="22"/>
              </w:rPr>
            </w:pPr>
            <w:r w:rsidRPr="00E36259">
              <w:rPr>
                <w:rFonts w:ascii="Arial" w:hAnsi="Arial" w:cs="Arial"/>
                <w:sz w:val="22"/>
              </w:rPr>
              <w:t>t</w:t>
            </w:r>
            <w:r w:rsidR="00D91120" w:rsidRPr="00E36259">
              <w:rPr>
                <w:rFonts w:ascii="Arial" w:hAnsi="Arial" w:cs="Arial"/>
                <w:sz w:val="22"/>
              </w:rPr>
              <w:t>ina.holland@local.gov.uk</w:t>
            </w:r>
          </w:p>
        </w:tc>
      </w:tr>
    </w:tbl>
    <w:p w14:paraId="46C23375" w14:textId="77777777" w:rsidR="004571B9" w:rsidRPr="00520A28" w:rsidRDefault="004571B9" w:rsidP="004571B9">
      <w:pPr>
        <w:rPr>
          <w:rFonts w:ascii="Arial" w:hAnsi="Arial" w:cs="Arial"/>
        </w:rPr>
      </w:pPr>
    </w:p>
    <w:p w14:paraId="233CE5AC" w14:textId="77777777" w:rsidR="006F500E" w:rsidRDefault="006F500E" w:rsidP="00DB12EF">
      <w:pPr>
        <w:spacing w:before="120" w:after="240" w:line="280" w:lineRule="exact"/>
        <w:rPr>
          <w:rFonts w:ascii="Arial" w:hAnsi="Arial" w:cs="Arial"/>
          <w:b/>
          <w:sz w:val="28"/>
          <w:szCs w:val="28"/>
        </w:rPr>
      </w:pPr>
    </w:p>
    <w:p w14:paraId="7243CCFA" w14:textId="77777777" w:rsidR="006F500E" w:rsidRDefault="006F500E" w:rsidP="00DB12EF">
      <w:pPr>
        <w:spacing w:before="120" w:after="240" w:line="280" w:lineRule="exact"/>
        <w:rPr>
          <w:rFonts w:ascii="Arial" w:hAnsi="Arial" w:cs="Arial"/>
          <w:b/>
          <w:sz w:val="28"/>
          <w:szCs w:val="28"/>
        </w:rPr>
      </w:pPr>
    </w:p>
    <w:p w14:paraId="2E1B7654" w14:textId="77777777" w:rsidR="00E4028D" w:rsidRPr="007E42E9" w:rsidRDefault="007E42E9" w:rsidP="00E4028D">
      <w:pPr>
        <w:rPr>
          <w:rFonts w:ascii="Arial" w:hAnsi="Arial" w:cs="Consolas"/>
          <w:b/>
          <w:lang w:eastAsia="en-US"/>
        </w:rPr>
      </w:pPr>
      <w:r w:rsidRPr="007E42E9">
        <w:rPr>
          <w:rFonts w:ascii="Arial" w:hAnsi="Arial" w:cs="Consolas"/>
          <w:b/>
          <w:lang w:eastAsia="en-US"/>
        </w:rPr>
        <w:lastRenderedPageBreak/>
        <w:t>Strategic Supplier Relationship Management</w:t>
      </w:r>
    </w:p>
    <w:p w14:paraId="6E973061" w14:textId="77777777" w:rsidR="00E4028D" w:rsidRPr="00E4028D" w:rsidRDefault="00E4028D" w:rsidP="00E4028D">
      <w:pPr>
        <w:rPr>
          <w:rFonts w:ascii="Arial" w:hAnsi="Arial" w:cs="Consolas"/>
          <w:sz w:val="22"/>
          <w:szCs w:val="21"/>
          <w:lang w:eastAsia="en-US"/>
        </w:rPr>
      </w:pPr>
    </w:p>
    <w:p w14:paraId="3927FE76" w14:textId="1E24B099" w:rsidR="00F36FCE" w:rsidRPr="006E3AE8" w:rsidRDefault="00291E29" w:rsidP="006E3AE8">
      <w:pPr>
        <w:pStyle w:val="ListParagraph"/>
        <w:numPr>
          <w:ilvl w:val="0"/>
          <w:numId w:val="34"/>
        </w:numPr>
        <w:rPr>
          <w:rFonts w:ascii="Arial" w:hAnsi="Arial" w:cs="Consolas"/>
          <w:sz w:val="22"/>
          <w:szCs w:val="22"/>
          <w:lang w:eastAsia="en-US"/>
        </w:rPr>
      </w:pPr>
      <w:r w:rsidRPr="006E3AE8">
        <w:rPr>
          <w:rFonts w:ascii="Arial" w:hAnsi="Arial" w:cs="Consolas"/>
          <w:sz w:val="22"/>
          <w:szCs w:val="22"/>
          <w:lang w:eastAsia="en-US"/>
        </w:rPr>
        <w:t>Members will recall a report to the I</w:t>
      </w:r>
      <w:r w:rsidR="00E36259" w:rsidRPr="006E3AE8">
        <w:rPr>
          <w:rFonts w:ascii="Arial" w:hAnsi="Arial" w:cs="Consolas"/>
          <w:sz w:val="22"/>
          <w:szCs w:val="22"/>
          <w:lang w:eastAsia="en-US"/>
        </w:rPr>
        <w:t>mprovement and Innovation Board</w:t>
      </w:r>
      <w:r w:rsidR="001E3B37" w:rsidRPr="006E3AE8">
        <w:rPr>
          <w:rFonts w:ascii="Arial" w:hAnsi="Arial" w:cs="Consolas"/>
          <w:sz w:val="22"/>
          <w:szCs w:val="22"/>
          <w:lang w:eastAsia="en-US"/>
        </w:rPr>
        <w:t xml:space="preserve"> </w:t>
      </w:r>
      <w:r w:rsidRPr="006E3AE8">
        <w:rPr>
          <w:rFonts w:ascii="Arial" w:hAnsi="Arial" w:cs="Consolas"/>
          <w:sz w:val="22"/>
          <w:szCs w:val="22"/>
          <w:lang w:eastAsia="en-US"/>
        </w:rPr>
        <w:t>in Marc</w:t>
      </w:r>
      <w:r w:rsidR="00F36FCE" w:rsidRPr="006E3AE8">
        <w:rPr>
          <w:rFonts w:ascii="Arial" w:hAnsi="Arial" w:cs="Consolas"/>
          <w:sz w:val="22"/>
          <w:szCs w:val="22"/>
          <w:lang w:eastAsia="en-US"/>
        </w:rPr>
        <w:t xml:space="preserve">h 2018 </w:t>
      </w:r>
      <w:r w:rsidRPr="006E3AE8">
        <w:rPr>
          <w:rFonts w:ascii="Arial" w:hAnsi="Arial" w:cs="Consolas"/>
          <w:sz w:val="22"/>
          <w:szCs w:val="22"/>
          <w:lang w:eastAsia="en-US"/>
        </w:rPr>
        <w:t xml:space="preserve">where </w:t>
      </w:r>
      <w:r w:rsidR="00F36FCE" w:rsidRPr="006E3AE8">
        <w:rPr>
          <w:rFonts w:ascii="Arial" w:hAnsi="Arial" w:cs="Consolas"/>
          <w:sz w:val="22"/>
          <w:szCs w:val="22"/>
          <w:lang w:eastAsia="en-US"/>
        </w:rPr>
        <w:t xml:space="preserve">we discussed the </w:t>
      </w:r>
      <w:r w:rsidRPr="006E3AE8">
        <w:rPr>
          <w:rFonts w:ascii="Arial" w:hAnsi="Arial" w:cs="Consolas"/>
          <w:sz w:val="22"/>
          <w:szCs w:val="22"/>
          <w:lang w:eastAsia="en-US"/>
        </w:rPr>
        <w:t xml:space="preserve">fall-out from the collapse of Carillion. One of the areas highlighted was the proposal being considered at the time by </w:t>
      </w:r>
      <w:r w:rsidR="00F36FCE" w:rsidRPr="006E3AE8">
        <w:rPr>
          <w:rFonts w:ascii="Arial" w:hAnsi="Arial" w:cs="Consolas"/>
          <w:sz w:val="22"/>
          <w:szCs w:val="22"/>
          <w:lang w:eastAsia="en-US"/>
        </w:rPr>
        <w:t xml:space="preserve">Cabinet Office </w:t>
      </w:r>
      <w:r w:rsidRPr="006E3AE8">
        <w:rPr>
          <w:rFonts w:ascii="Arial" w:hAnsi="Arial" w:cs="Consolas"/>
          <w:sz w:val="22"/>
          <w:szCs w:val="22"/>
          <w:lang w:eastAsia="en-US"/>
        </w:rPr>
        <w:t xml:space="preserve">to </w:t>
      </w:r>
      <w:r w:rsidR="00F36FCE" w:rsidRPr="006E3AE8">
        <w:rPr>
          <w:rFonts w:ascii="Arial" w:hAnsi="Arial" w:cs="Consolas"/>
          <w:sz w:val="22"/>
          <w:szCs w:val="22"/>
          <w:lang w:eastAsia="en-US"/>
        </w:rPr>
        <w:t>appoint a ‘Crown Represe</w:t>
      </w:r>
      <w:r w:rsidR="006E3AE8">
        <w:rPr>
          <w:rFonts w:ascii="Arial" w:hAnsi="Arial" w:cs="Consolas"/>
          <w:sz w:val="22"/>
          <w:szCs w:val="22"/>
          <w:lang w:eastAsia="en-US"/>
        </w:rPr>
        <w:t xml:space="preserve">ntative’ for local government. </w:t>
      </w:r>
      <w:r w:rsidR="00F36FCE" w:rsidRPr="006E3AE8">
        <w:rPr>
          <w:rFonts w:ascii="Arial" w:hAnsi="Arial" w:cs="Consolas"/>
          <w:sz w:val="22"/>
          <w:szCs w:val="22"/>
          <w:lang w:eastAsia="en-US"/>
        </w:rPr>
        <w:t xml:space="preserve">IIB were not supportive of this at the time. </w:t>
      </w:r>
      <w:r w:rsidRPr="006E3AE8">
        <w:rPr>
          <w:rFonts w:ascii="Arial" w:hAnsi="Arial" w:cs="Consolas"/>
          <w:sz w:val="22"/>
          <w:szCs w:val="22"/>
          <w:lang w:eastAsia="en-US"/>
        </w:rPr>
        <w:t>Members expressed some concerns and questioned how this might work, particularly in areas where government departments do not have contracts with suppliers to local councils.</w:t>
      </w:r>
      <w:r w:rsidR="00372E9E" w:rsidRPr="006E3AE8">
        <w:rPr>
          <w:rFonts w:ascii="Arial" w:hAnsi="Arial" w:cs="Consolas"/>
          <w:sz w:val="22"/>
          <w:szCs w:val="22"/>
          <w:lang w:eastAsia="en-US"/>
        </w:rPr>
        <w:t xml:space="preserve"> Earlier this year the </w:t>
      </w:r>
      <w:r w:rsidR="00E57FC2" w:rsidRPr="006E3AE8">
        <w:rPr>
          <w:rFonts w:ascii="Arial" w:hAnsi="Arial" w:cs="Consolas"/>
          <w:sz w:val="22"/>
          <w:szCs w:val="22"/>
          <w:lang w:eastAsia="en-US"/>
        </w:rPr>
        <w:t>Cabinet Office</w:t>
      </w:r>
      <w:r w:rsidR="00F36FCE" w:rsidRPr="006E3AE8">
        <w:rPr>
          <w:rFonts w:ascii="Arial" w:hAnsi="Arial" w:cs="Consolas"/>
          <w:sz w:val="22"/>
          <w:szCs w:val="22"/>
          <w:lang w:eastAsia="en-US"/>
        </w:rPr>
        <w:t xml:space="preserve"> appointed Mervyn Greer, previously a director at Kier Group (now retired) to this role. MHCLG have also appointed Andy Hobart as commercial director</w:t>
      </w:r>
      <w:r w:rsidR="00E57FC2" w:rsidRPr="006E3AE8">
        <w:rPr>
          <w:rFonts w:ascii="Arial" w:hAnsi="Arial" w:cs="Consolas"/>
          <w:sz w:val="22"/>
          <w:szCs w:val="22"/>
          <w:lang w:eastAsia="en-US"/>
        </w:rPr>
        <w:t xml:space="preserve"> and he is </w:t>
      </w:r>
      <w:r w:rsidR="00DC58A6" w:rsidRPr="006E3AE8">
        <w:rPr>
          <w:rFonts w:ascii="Arial" w:hAnsi="Arial" w:cs="Consolas"/>
          <w:sz w:val="22"/>
          <w:szCs w:val="22"/>
          <w:lang w:eastAsia="en-US"/>
        </w:rPr>
        <w:t>leading on</w:t>
      </w:r>
      <w:r w:rsidR="00E57FC2" w:rsidRPr="006E3AE8">
        <w:rPr>
          <w:rFonts w:ascii="Arial" w:hAnsi="Arial" w:cs="Consolas"/>
          <w:sz w:val="22"/>
          <w:szCs w:val="22"/>
          <w:lang w:eastAsia="en-US"/>
        </w:rPr>
        <w:t xml:space="preserve"> strategic supplier management. Both have indicated that they are </w:t>
      </w:r>
      <w:r w:rsidR="00DC58A6" w:rsidRPr="006E3AE8">
        <w:rPr>
          <w:rFonts w:ascii="Arial" w:hAnsi="Arial" w:cs="Consolas"/>
          <w:sz w:val="22"/>
          <w:szCs w:val="22"/>
          <w:lang w:eastAsia="en-US"/>
        </w:rPr>
        <w:t>willing to help LGA.</w:t>
      </w:r>
    </w:p>
    <w:p w14:paraId="4E59CD35" w14:textId="77777777" w:rsidR="00F36FCE" w:rsidRDefault="00F36FCE" w:rsidP="00E4028D">
      <w:pPr>
        <w:ind w:left="720" w:hanging="720"/>
        <w:rPr>
          <w:rFonts w:ascii="Arial" w:hAnsi="Arial" w:cs="Consolas"/>
          <w:sz w:val="22"/>
          <w:szCs w:val="22"/>
          <w:lang w:eastAsia="en-US"/>
        </w:rPr>
      </w:pPr>
    </w:p>
    <w:p w14:paraId="66224A03" w14:textId="4EE70165" w:rsidR="00E4028D" w:rsidRPr="006E3AE8" w:rsidRDefault="00B40FE8" w:rsidP="006E3AE8">
      <w:pPr>
        <w:pStyle w:val="ListParagraph"/>
        <w:numPr>
          <w:ilvl w:val="0"/>
          <w:numId w:val="34"/>
        </w:numPr>
        <w:rPr>
          <w:rFonts w:ascii="Arial" w:hAnsi="Arial" w:cs="Consolas"/>
          <w:sz w:val="22"/>
          <w:szCs w:val="22"/>
          <w:lang w:eastAsia="en-US"/>
        </w:rPr>
      </w:pPr>
      <w:r w:rsidRPr="006E3AE8">
        <w:rPr>
          <w:rFonts w:ascii="Arial" w:hAnsi="Arial" w:cs="Consolas"/>
          <w:sz w:val="22"/>
          <w:szCs w:val="22"/>
          <w:lang w:eastAsia="en-US"/>
        </w:rPr>
        <w:t>As part of our productivity programme, the LGA has been helping councils to become more efficient and effective with their procurement processes</w:t>
      </w:r>
      <w:r w:rsidR="0014701F" w:rsidRPr="006E3AE8">
        <w:rPr>
          <w:rFonts w:ascii="Arial" w:hAnsi="Arial" w:cs="Consolas"/>
          <w:sz w:val="22"/>
          <w:szCs w:val="22"/>
          <w:lang w:eastAsia="en-US"/>
        </w:rPr>
        <w:t xml:space="preserve">. </w:t>
      </w:r>
      <w:r w:rsidR="004D372C" w:rsidRPr="006E3AE8">
        <w:rPr>
          <w:rFonts w:ascii="Arial" w:hAnsi="Arial" w:cs="Consolas"/>
          <w:sz w:val="22"/>
          <w:szCs w:val="22"/>
          <w:lang w:eastAsia="en-US"/>
        </w:rPr>
        <w:t>In July 2018 w</w:t>
      </w:r>
      <w:r w:rsidRPr="006E3AE8">
        <w:rPr>
          <w:rFonts w:ascii="Arial" w:hAnsi="Arial" w:cs="Consolas"/>
          <w:sz w:val="22"/>
          <w:szCs w:val="22"/>
          <w:lang w:eastAsia="en-US"/>
        </w:rPr>
        <w:t>e launched a</w:t>
      </w:r>
      <w:r w:rsidR="00D91120" w:rsidRPr="006E3AE8">
        <w:rPr>
          <w:rFonts w:ascii="Arial" w:hAnsi="Arial" w:cs="Consolas"/>
          <w:sz w:val="22"/>
          <w:szCs w:val="22"/>
          <w:lang w:eastAsia="en-US"/>
        </w:rPr>
        <w:t>n updated national</w:t>
      </w:r>
      <w:r w:rsidRPr="006E3AE8">
        <w:rPr>
          <w:rFonts w:ascii="Arial" w:hAnsi="Arial" w:cs="Consolas"/>
          <w:sz w:val="22"/>
          <w:szCs w:val="22"/>
          <w:lang w:eastAsia="en-US"/>
        </w:rPr>
        <w:t xml:space="preserve"> procurement strategy for local government (NPS) in </w:t>
      </w:r>
      <w:r w:rsidR="00D91120" w:rsidRPr="006E3AE8">
        <w:rPr>
          <w:rFonts w:ascii="Arial" w:hAnsi="Arial" w:cs="Consolas"/>
          <w:sz w:val="22"/>
          <w:szCs w:val="22"/>
          <w:lang w:eastAsia="en-US"/>
        </w:rPr>
        <w:t>2018</w:t>
      </w:r>
      <w:r w:rsidRPr="006E3AE8">
        <w:rPr>
          <w:rFonts w:ascii="Arial" w:hAnsi="Arial" w:cs="Consolas"/>
          <w:sz w:val="22"/>
          <w:szCs w:val="22"/>
          <w:lang w:eastAsia="en-US"/>
        </w:rPr>
        <w:t>.</w:t>
      </w:r>
      <w:r w:rsidR="006E3AE8">
        <w:rPr>
          <w:rFonts w:ascii="Arial" w:hAnsi="Arial" w:cs="Consolas"/>
          <w:sz w:val="22"/>
          <w:szCs w:val="22"/>
          <w:lang w:eastAsia="en-US"/>
        </w:rPr>
        <w:t xml:space="preserve"> </w:t>
      </w:r>
      <w:r w:rsidR="001E3B37" w:rsidRPr="006E3AE8">
        <w:rPr>
          <w:rFonts w:ascii="Arial" w:hAnsi="Arial" w:cs="Consolas"/>
          <w:sz w:val="22"/>
          <w:szCs w:val="22"/>
          <w:lang w:eastAsia="en-US"/>
        </w:rPr>
        <w:t>We are also updating</w:t>
      </w:r>
      <w:r w:rsidR="004D372C" w:rsidRPr="006E3AE8">
        <w:rPr>
          <w:rFonts w:ascii="Arial" w:hAnsi="Arial" w:cs="Consolas"/>
          <w:sz w:val="22"/>
          <w:szCs w:val="22"/>
          <w:lang w:eastAsia="en-US"/>
        </w:rPr>
        <w:t xml:space="preserve"> </w:t>
      </w:r>
      <w:r w:rsidR="00DC58A6" w:rsidRPr="006E3AE8">
        <w:rPr>
          <w:rFonts w:ascii="Arial" w:hAnsi="Arial" w:cs="Consolas"/>
          <w:sz w:val="22"/>
          <w:szCs w:val="22"/>
          <w:lang w:eastAsia="en-US"/>
        </w:rPr>
        <w:t>our Councillor Guide to Procurement which will be available in</w:t>
      </w:r>
      <w:r w:rsidR="0081699F" w:rsidRPr="006E3AE8">
        <w:rPr>
          <w:rFonts w:ascii="Arial" w:hAnsi="Arial" w:cs="Consolas"/>
          <w:sz w:val="22"/>
          <w:szCs w:val="22"/>
          <w:lang w:eastAsia="en-US"/>
        </w:rPr>
        <w:t xml:space="preserve"> </w:t>
      </w:r>
      <w:r w:rsidR="00DC58A6" w:rsidRPr="006E3AE8">
        <w:rPr>
          <w:rFonts w:ascii="Arial" w:hAnsi="Arial" w:cs="Consolas"/>
          <w:sz w:val="22"/>
          <w:szCs w:val="22"/>
          <w:lang w:eastAsia="en-US"/>
        </w:rPr>
        <w:t>Spring 2019.</w:t>
      </w:r>
    </w:p>
    <w:p w14:paraId="4C7E342C" w14:textId="77777777" w:rsidR="00E4028D" w:rsidRPr="00E4028D" w:rsidRDefault="00E4028D" w:rsidP="00E4028D">
      <w:pPr>
        <w:rPr>
          <w:rFonts w:ascii="Arial" w:hAnsi="Arial" w:cs="Consolas"/>
          <w:sz w:val="22"/>
          <w:szCs w:val="22"/>
          <w:lang w:eastAsia="en-US"/>
        </w:rPr>
      </w:pPr>
    </w:p>
    <w:p w14:paraId="20A46915" w14:textId="4B28A855" w:rsidR="0081699F" w:rsidRPr="006E3AE8" w:rsidRDefault="006B3C66" w:rsidP="006E3AE8">
      <w:pPr>
        <w:pStyle w:val="ListParagraph"/>
        <w:numPr>
          <w:ilvl w:val="0"/>
          <w:numId w:val="34"/>
        </w:numPr>
        <w:rPr>
          <w:rFonts w:ascii="Arial" w:hAnsi="Arial" w:cs="Arial"/>
          <w:sz w:val="22"/>
          <w:szCs w:val="22"/>
          <w:lang w:eastAsia="en-US"/>
        </w:rPr>
      </w:pPr>
      <w:r w:rsidRPr="006E3AE8">
        <w:rPr>
          <w:rFonts w:ascii="Arial" w:hAnsi="Arial" w:cs="Consolas"/>
          <w:sz w:val="22"/>
          <w:szCs w:val="22"/>
          <w:lang w:eastAsia="en-US"/>
        </w:rPr>
        <w:t xml:space="preserve">The NPS 2018 has a number of themes. Within the ‘Leadership’ theme one </w:t>
      </w:r>
      <w:r w:rsidR="00D91120" w:rsidRPr="006E3AE8">
        <w:rPr>
          <w:rFonts w:ascii="Arial" w:hAnsi="Arial" w:cs="Consolas"/>
          <w:sz w:val="22"/>
          <w:szCs w:val="22"/>
          <w:lang w:eastAsia="en-US"/>
        </w:rPr>
        <w:t>of the key areas is ‘Engaging Strategic Suppliers’.</w:t>
      </w:r>
      <w:r w:rsidR="006E3AE8">
        <w:rPr>
          <w:rFonts w:ascii="Arial" w:hAnsi="Arial" w:cs="Consolas"/>
          <w:sz w:val="22"/>
          <w:szCs w:val="22"/>
          <w:lang w:eastAsia="en-US"/>
        </w:rPr>
        <w:t xml:space="preserve"> </w:t>
      </w:r>
      <w:r w:rsidR="00D91120" w:rsidRPr="006E3AE8">
        <w:rPr>
          <w:rFonts w:ascii="Arial" w:hAnsi="Arial" w:cs="Consolas"/>
          <w:sz w:val="22"/>
          <w:szCs w:val="22"/>
          <w:lang w:eastAsia="en-US"/>
        </w:rPr>
        <w:t xml:space="preserve">Effective strategic supplier </w:t>
      </w:r>
      <w:r w:rsidR="00D91120" w:rsidRPr="006E3AE8">
        <w:rPr>
          <w:rFonts w:ascii="Arial" w:hAnsi="Arial" w:cs="Arial"/>
          <w:sz w:val="22"/>
          <w:szCs w:val="22"/>
          <w:lang w:eastAsia="en-US"/>
        </w:rPr>
        <w:t>relationship</w:t>
      </w:r>
      <w:r w:rsidR="0081699F" w:rsidRPr="006E3AE8">
        <w:rPr>
          <w:rFonts w:ascii="Arial" w:hAnsi="Arial" w:cs="Arial"/>
          <w:sz w:val="22"/>
          <w:szCs w:val="22"/>
          <w:lang w:eastAsia="en-US"/>
        </w:rPr>
        <w:t xml:space="preserve"> management (SSRM)</w:t>
      </w:r>
      <w:r w:rsidR="00D91120" w:rsidRPr="006E3AE8">
        <w:rPr>
          <w:rFonts w:ascii="Arial" w:hAnsi="Arial" w:cs="Arial"/>
          <w:sz w:val="22"/>
          <w:szCs w:val="22"/>
          <w:lang w:eastAsia="en-US"/>
        </w:rPr>
        <w:t xml:space="preserve"> can deliver a range of benefits including improved outcomes for the public, added social value, reduced cost, reduced risk and innovation.</w:t>
      </w:r>
      <w:r w:rsidR="006E3AE8">
        <w:rPr>
          <w:rFonts w:ascii="Arial" w:hAnsi="Arial" w:cs="Arial"/>
          <w:sz w:val="22"/>
          <w:szCs w:val="22"/>
          <w:lang w:eastAsia="en-US"/>
        </w:rPr>
        <w:t xml:space="preserve"> </w:t>
      </w:r>
      <w:r w:rsidR="0081699F" w:rsidRPr="006E3AE8">
        <w:rPr>
          <w:rFonts w:ascii="Arial" w:hAnsi="Arial" w:cs="Arial"/>
          <w:sz w:val="22"/>
          <w:szCs w:val="22"/>
          <w:lang w:eastAsia="en-US"/>
        </w:rPr>
        <w:t>A number of councils are engaging with us on work relating to the following key suppliers:</w:t>
      </w:r>
    </w:p>
    <w:p w14:paraId="5E601016" w14:textId="77777777" w:rsidR="0081699F" w:rsidRPr="0014701F" w:rsidRDefault="0081699F" w:rsidP="0081699F">
      <w:pPr>
        <w:ind w:left="720" w:hanging="720"/>
        <w:rPr>
          <w:rFonts w:ascii="Arial" w:hAnsi="Arial" w:cs="Arial"/>
          <w:sz w:val="22"/>
          <w:szCs w:val="22"/>
          <w:lang w:eastAsia="en-US"/>
        </w:rPr>
      </w:pPr>
    </w:p>
    <w:p w14:paraId="2B5EA8A2" w14:textId="77777777" w:rsidR="0014701F" w:rsidRPr="0014701F" w:rsidRDefault="0081699F" w:rsidP="0014701F">
      <w:pPr>
        <w:pStyle w:val="ListParagraph"/>
        <w:numPr>
          <w:ilvl w:val="1"/>
          <w:numId w:val="32"/>
        </w:numPr>
        <w:rPr>
          <w:rFonts w:ascii="Arial" w:hAnsi="Arial" w:cs="Arial"/>
          <w:sz w:val="22"/>
          <w:szCs w:val="22"/>
          <w:lang w:eastAsia="en-US"/>
        </w:rPr>
      </w:pPr>
      <w:r w:rsidRPr="0014701F">
        <w:rPr>
          <w:rFonts w:ascii="Arial" w:hAnsi="Arial" w:cs="Arial"/>
          <w:sz w:val="22"/>
          <w:szCs w:val="22"/>
          <w:lang w:eastAsia="en-US"/>
        </w:rPr>
        <w:t>Bupa</w:t>
      </w:r>
      <w:r w:rsidR="00D07E53" w:rsidRPr="0014701F">
        <w:rPr>
          <w:rFonts w:ascii="Arial" w:hAnsi="Arial" w:cs="Arial"/>
          <w:sz w:val="22"/>
          <w:szCs w:val="22"/>
          <w:lang w:eastAsia="en-US"/>
        </w:rPr>
        <w:t xml:space="preserve"> – Care Homes and Home Care</w:t>
      </w:r>
      <w:r w:rsidRPr="0014701F">
        <w:rPr>
          <w:rFonts w:ascii="Arial" w:hAnsi="Arial" w:cs="Arial"/>
          <w:sz w:val="22"/>
          <w:szCs w:val="22"/>
          <w:lang w:eastAsia="en-US"/>
        </w:rPr>
        <w:t xml:space="preserve"> </w:t>
      </w:r>
    </w:p>
    <w:p w14:paraId="45EB8923" w14:textId="77777777" w:rsidR="0014701F" w:rsidRPr="0014701F" w:rsidRDefault="0081699F" w:rsidP="0014701F">
      <w:pPr>
        <w:pStyle w:val="ListParagraph"/>
        <w:numPr>
          <w:ilvl w:val="1"/>
          <w:numId w:val="32"/>
        </w:numPr>
        <w:rPr>
          <w:rFonts w:ascii="Arial" w:hAnsi="Arial" w:cs="Arial"/>
          <w:sz w:val="22"/>
          <w:szCs w:val="22"/>
          <w:lang w:eastAsia="en-US"/>
        </w:rPr>
      </w:pPr>
      <w:r w:rsidRPr="0014701F">
        <w:rPr>
          <w:rFonts w:ascii="Arial" w:hAnsi="Arial" w:cs="Arial"/>
          <w:sz w:val="22"/>
          <w:szCs w:val="22"/>
          <w:lang w:eastAsia="en-US"/>
        </w:rPr>
        <w:t>Capita</w:t>
      </w:r>
      <w:r w:rsidR="00D07E53" w:rsidRPr="0014701F">
        <w:rPr>
          <w:rFonts w:ascii="Arial" w:hAnsi="Arial" w:cs="Arial"/>
          <w:sz w:val="22"/>
          <w:szCs w:val="22"/>
          <w:lang w:eastAsia="en-US"/>
        </w:rPr>
        <w:t xml:space="preserve"> </w:t>
      </w:r>
      <w:r w:rsidR="007E42E9" w:rsidRPr="0014701F">
        <w:rPr>
          <w:rFonts w:ascii="Arial" w:hAnsi="Arial" w:cs="Arial"/>
          <w:sz w:val="22"/>
          <w:szCs w:val="22"/>
          <w:lang w:eastAsia="en-US"/>
        </w:rPr>
        <w:t>–</w:t>
      </w:r>
      <w:r w:rsidR="00D07E53" w:rsidRPr="0014701F">
        <w:rPr>
          <w:rFonts w:ascii="Arial" w:hAnsi="Arial" w:cs="Arial"/>
          <w:sz w:val="22"/>
          <w:szCs w:val="22"/>
          <w:lang w:eastAsia="en-US"/>
        </w:rPr>
        <w:t xml:space="preserve"> </w:t>
      </w:r>
      <w:r w:rsidR="007E42E9" w:rsidRPr="0014701F">
        <w:rPr>
          <w:rFonts w:ascii="Arial" w:hAnsi="Arial" w:cs="Arial"/>
          <w:sz w:val="22"/>
          <w:szCs w:val="22"/>
          <w:lang w:eastAsia="en-US"/>
        </w:rPr>
        <w:t>business outsourcing</w:t>
      </w:r>
    </w:p>
    <w:p w14:paraId="72BC92D8" w14:textId="77777777" w:rsidR="0014701F" w:rsidRPr="0014701F" w:rsidRDefault="0081699F" w:rsidP="0014701F">
      <w:pPr>
        <w:pStyle w:val="ListParagraph"/>
        <w:numPr>
          <w:ilvl w:val="1"/>
          <w:numId w:val="32"/>
        </w:numPr>
        <w:rPr>
          <w:rFonts w:ascii="Arial" w:hAnsi="Arial" w:cs="Arial"/>
          <w:sz w:val="22"/>
          <w:szCs w:val="22"/>
          <w:lang w:eastAsia="en-US"/>
        </w:rPr>
      </w:pPr>
      <w:r w:rsidRPr="0014701F">
        <w:rPr>
          <w:rFonts w:ascii="Arial" w:hAnsi="Arial" w:cs="Arial"/>
          <w:sz w:val="22"/>
          <w:szCs w:val="22"/>
          <w:lang w:eastAsia="en-US"/>
        </w:rPr>
        <w:t>Microsoft</w:t>
      </w:r>
      <w:r w:rsidR="00D07E53" w:rsidRPr="0014701F">
        <w:rPr>
          <w:rFonts w:ascii="Arial" w:hAnsi="Arial" w:cs="Arial"/>
          <w:sz w:val="22"/>
          <w:szCs w:val="22"/>
          <w:lang w:eastAsia="en-US"/>
        </w:rPr>
        <w:t xml:space="preserve"> – software licensing</w:t>
      </w:r>
    </w:p>
    <w:p w14:paraId="00459062" w14:textId="3C6700FB" w:rsidR="0014701F" w:rsidRPr="0014701F" w:rsidRDefault="0081699F" w:rsidP="0014701F">
      <w:pPr>
        <w:pStyle w:val="ListParagraph"/>
        <w:numPr>
          <w:ilvl w:val="1"/>
          <w:numId w:val="32"/>
        </w:numPr>
        <w:rPr>
          <w:rFonts w:ascii="Arial" w:hAnsi="Arial" w:cs="Arial"/>
          <w:sz w:val="22"/>
          <w:szCs w:val="22"/>
          <w:lang w:eastAsia="en-US"/>
        </w:rPr>
      </w:pPr>
      <w:proofErr w:type="spellStart"/>
      <w:r w:rsidRPr="0014701F">
        <w:rPr>
          <w:rFonts w:ascii="Arial" w:hAnsi="Arial" w:cs="Arial"/>
          <w:sz w:val="22"/>
          <w:szCs w:val="22"/>
          <w:lang w:eastAsia="en-US"/>
        </w:rPr>
        <w:t>Amey</w:t>
      </w:r>
      <w:proofErr w:type="spellEnd"/>
      <w:r w:rsidR="00D07E53" w:rsidRPr="0014701F">
        <w:rPr>
          <w:rFonts w:ascii="Arial" w:hAnsi="Arial" w:cs="Arial"/>
          <w:sz w:val="22"/>
          <w:szCs w:val="22"/>
          <w:lang w:eastAsia="en-US"/>
        </w:rPr>
        <w:t xml:space="preserve"> </w:t>
      </w:r>
      <w:r w:rsidR="0014701F" w:rsidRPr="0014701F">
        <w:rPr>
          <w:rFonts w:ascii="Arial" w:hAnsi="Arial" w:cs="Arial"/>
          <w:sz w:val="22"/>
          <w:szCs w:val="22"/>
          <w:lang w:eastAsia="en-US"/>
        </w:rPr>
        <w:t>–</w:t>
      </w:r>
      <w:r w:rsidR="00D07E53" w:rsidRPr="0014701F">
        <w:rPr>
          <w:rFonts w:ascii="Arial" w:hAnsi="Arial" w:cs="Arial"/>
          <w:sz w:val="22"/>
          <w:szCs w:val="22"/>
          <w:lang w:eastAsia="en-US"/>
        </w:rPr>
        <w:t xml:space="preserve"> highways</w:t>
      </w:r>
    </w:p>
    <w:p w14:paraId="22422986" w14:textId="77777777" w:rsidR="0014701F" w:rsidRPr="0014701F" w:rsidRDefault="0081699F" w:rsidP="0014701F">
      <w:pPr>
        <w:pStyle w:val="ListParagraph"/>
        <w:numPr>
          <w:ilvl w:val="1"/>
          <w:numId w:val="32"/>
        </w:numPr>
        <w:rPr>
          <w:rFonts w:ascii="Arial" w:hAnsi="Arial" w:cs="Arial"/>
          <w:sz w:val="22"/>
          <w:szCs w:val="22"/>
          <w:lang w:eastAsia="en-US"/>
        </w:rPr>
      </w:pPr>
      <w:proofErr w:type="spellStart"/>
      <w:r w:rsidRPr="0014701F">
        <w:rPr>
          <w:rFonts w:ascii="Arial" w:hAnsi="Arial" w:cs="Arial"/>
          <w:sz w:val="22"/>
          <w:szCs w:val="22"/>
          <w:lang w:eastAsia="en-US"/>
        </w:rPr>
        <w:t>Cambian</w:t>
      </w:r>
      <w:proofErr w:type="spellEnd"/>
      <w:r w:rsidR="00D07E53" w:rsidRPr="0014701F">
        <w:rPr>
          <w:rFonts w:ascii="Arial" w:hAnsi="Arial" w:cs="Arial"/>
          <w:sz w:val="22"/>
          <w:szCs w:val="22"/>
          <w:lang w:eastAsia="en-US"/>
        </w:rPr>
        <w:t xml:space="preserve"> </w:t>
      </w:r>
      <w:r w:rsidR="007E42E9" w:rsidRPr="0014701F">
        <w:rPr>
          <w:rFonts w:ascii="Arial" w:hAnsi="Arial" w:cs="Arial"/>
          <w:sz w:val="22"/>
          <w:szCs w:val="22"/>
          <w:lang w:eastAsia="en-US"/>
        </w:rPr>
        <w:t xml:space="preserve">- </w:t>
      </w:r>
      <w:r w:rsidR="00D07E53" w:rsidRPr="0014701F">
        <w:rPr>
          <w:rFonts w:ascii="Arial" w:hAnsi="Arial" w:cs="Arial"/>
          <w:sz w:val="22"/>
          <w:szCs w:val="22"/>
          <w:lang w:eastAsia="en-US"/>
        </w:rPr>
        <w:t>children’s services</w:t>
      </w:r>
    </w:p>
    <w:p w14:paraId="4D26CDD2" w14:textId="5F3FC907" w:rsidR="0081699F" w:rsidRPr="0014701F" w:rsidRDefault="0081699F" w:rsidP="0014701F">
      <w:pPr>
        <w:pStyle w:val="ListParagraph"/>
        <w:numPr>
          <w:ilvl w:val="1"/>
          <w:numId w:val="32"/>
        </w:numPr>
        <w:rPr>
          <w:rFonts w:ascii="Arial" w:hAnsi="Arial" w:cs="Arial"/>
          <w:sz w:val="22"/>
          <w:szCs w:val="22"/>
          <w:lang w:eastAsia="en-US"/>
        </w:rPr>
      </w:pPr>
      <w:r w:rsidRPr="0014701F">
        <w:rPr>
          <w:rFonts w:ascii="Arial" w:hAnsi="Arial" w:cs="Arial"/>
          <w:sz w:val="22"/>
          <w:szCs w:val="22"/>
          <w:lang w:eastAsia="en-US"/>
        </w:rPr>
        <w:t xml:space="preserve">Allied Healthcare </w:t>
      </w:r>
      <w:r w:rsidR="007E42E9" w:rsidRPr="0014701F">
        <w:rPr>
          <w:rFonts w:ascii="Arial" w:hAnsi="Arial" w:cs="Arial"/>
          <w:sz w:val="22"/>
          <w:szCs w:val="22"/>
          <w:lang w:eastAsia="en-US"/>
        </w:rPr>
        <w:t xml:space="preserve">– home care </w:t>
      </w:r>
      <w:r w:rsidRPr="0014701F">
        <w:rPr>
          <w:rFonts w:ascii="Arial" w:hAnsi="Arial" w:cs="Arial"/>
          <w:sz w:val="22"/>
          <w:szCs w:val="22"/>
          <w:lang w:eastAsia="en-US"/>
        </w:rPr>
        <w:t>(through working with ADASS and the CHIP Team)</w:t>
      </w:r>
      <w:r w:rsidR="00B90934" w:rsidRPr="0014701F">
        <w:rPr>
          <w:rFonts w:ascii="Arial" w:hAnsi="Arial" w:cs="Arial"/>
          <w:sz w:val="22"/>
          <w:szCs w:val="22"/>
          <w:lang w:eastAsia="en-US"/>
        </w:rPr>
        <w:t>.</w:t>
      </w:r>
    </w:p>
    <w:p w14:paraId="64B2E20E" w14:textId="77777777" w:rsidR="007E42E9" w:rsidRPr="0014701F" w:rsidRDefault="007E42E9" w:rsidP="007E42E9">
      <w:pPr>
        <w:ind w:left="1080"/>
        <w:rPr>
          <w:rFonts w:ascii="Arial" w:hAnsi="Arial" w:cs="Arial"/>
          <w:sz w:val="22"/>
          <w:szCs w:val="22"/>
          <w:lang w:eastAsia="en-US"/>
        </w:rPr>
      </w:pPr>
    </w:p>
    <w:p w14:paraId="3D971B16" w14:textId="6AF87330" w:rsidR="007E42E9" w:rsidRPr="0014701F" w:rsidRDefault="0014701F" w:rsidP="006E3AE8">
      <w:pPr>
        <w:ind w:left="1117" w:hanging="397"/>
        <w:rPr>
          <w:rFonts w:ascii="Arial" w:hAnsi="Arial" w:cs="Arial"/>
          <w:sz w:val="22"/>
          <w:szCs w:val="22"/>
          <w:lang w:eastAsia="en-US"/>
        </w:rPr>
      </w:pPr>
      <w:r>
        <w:rPr>
          <w:rFonts w:ascii="Arial" w:hAnsi="Arial" w:cs="Arial"/>
          <w:sz w:val="22"/>
          <w:szCs w:val="22"/>
          <w:lang w:eastAsia="en-US"/>
        </w:rPr>
        <w:t xml:space="preserve">3.7 </w:t>
      </w:r>
      <w:r w:rsidR="007E42E9" w:rsidRPr="0014701F">
        <w:rPr>
          <w:rFonts w:ascii="Arial" w:hAnsi="Arial" w:cs="Arial"/>
          <w:sz w:val="22"/>
          <w:szCs w:val="22"/>
          <w:lang w:eastAsia="en-US"/>
        </w:rPr>
        <w:t xml:space="preserve">We are </w:t>
      </w:r>
      <w:r w:rsidR="00D55D7B" w:rsidRPr="0014701F">
        <w:rPr>
          <w:rFonts w:ascii="Arial" w:hAnsi="Arial" w:cs="Arial"/>
          <w:sz w:val="22"/>
          <w:szCs w:val="22"/>
          <w:lang w:eastAsia="en-US"/>
        </w:rPr>
        <w:t xml:space="preserve">working with Cabinet Office to monitor progress with Interserve’s </w:t>
      </w:r>
      <w:r w:rsidR="007E42E9" w:rsidRPr="0014701F">
        <w:rPr>
          <w:rFonts w:ascii="Arial" w:hAnsi="Arial" w:cs="Arial"/>
          <w:sz w:val="22"/>
          <w:szCs w:val="22"/>
          <w:lang w:eastAsia="en-US"/>
        </w:rPr>
        <w:t>deleveraging plan</w:t>
      </w:r>
      <w:r w:rsidR="00D55D7B" w:rsidRPr="0014701F">
        <w:rPr>
          <w:rFonts w:ascii="Arial" w:hAnsi="Arial" w:cs="Arial"/>
          <w:sz w:val="22"/>
          <w:szCs w:val="22"/>
          <w:lang w:eastAsia="en-US"/>
        </w:rPr>
        <w:t xml:space="preserve">. Cabinet Office have advised that councils should continue to trade with Interserve as normal. </w:t>
      </w:r>
    </w:p>
    <w:p w14:paraId="42A1A5D6" w14:textId="3738E8BE" w:rsidR="002D31C1" w:rsidRDefault="002D31C1" w:rsidP="006E3AE8">
      <w:pPr>
        <w:ind w:left="1117" w:hanging="397"/>
        <w:rPr>
          <w:rFonts w:ascii="Arial" w:hAnsi="Arial" w:cs="Consolas"/>
          <w:sz w:val="22"/>
          <w:szCs w:val="22"/>
          <w:lang w:eastAsia="en-US"/>
        </w:rPr>
      </w:pPr>
    </w:p>
    <w:p w14:paraId="1D53E9B1" w14:textId="063F3C33" w:rsidR="002D31C1" w:rsidRPr="007E42E9" w:rsidRDefault="0014701F" w:rsidP="006E3AE8">
      <w:pPr>
        <w:ind w:left="1117" w:hanging="397"/>
        <w:rPr>
          <w:rFonts w:ascii="Arial" w:hAnsi="Arial" w:cs="Consolas"/>
          <w:sz w:val="22"/>
          <w:szCs w:val="22"/>
          <w:lang w:eastAsia="en-US"/>
        </w:rPr>
      </w:pPr>
      <w:r>
        <w:rPr>
          <w:rFonts w:ascii="Arial" w:hAnsi="Arial" w:cs="Consolas"/>
          <w:sz w:val="22"/>
          <w:szCs w:val="22"/>
          <w:lang w:eastAsia="en-US"/>
        </w:rPr>
        <w:t xml:space="preserve">3.8 </w:t>
      </w:r>
      <w:r w:rsidR="00EF7592">
        <w:rPr>
          <w:rFonts w:ascii="Arial" w:hAnsi="Arial" w:cs="Consolas"/>
          <w:sz w:val="22"/>
          <w:szCs w:val="22"/>
          <w:lang w:eastAsia="en-US"/>
        </w:rPr>
        <w:t>A supplementary summary report</w:t>
      </w:r>
      <w:r w:rsidR="002D31C1">
        <w:rPr>
          <w:rFonts w:ascii="Arial" w:hAnsi="Arial" w:cs="Consolas"/>
          <w:sz w:val="22"/>
          <w:szCs w:val="22"/>
          <w:lang w:eastAsia="en-US"/>
        </w:rPr>
        <w:t xml:space="preserve"> on key suppliers will be available at the meeting.</w:t>
      </w:r>
    </w:p>
    <w:p w14:paraId="68F6F953" w14:textId="77777777" w:rsidR="0081699F" w:rsidRDefault="0081699F" w:rsidP="0081699F">
      <w:pPr>
        <w:rPr>
          <w:rFonts w:ascii="Arial" w:hAnsi="Arial" w:cs="Consolas"/>
          <w:sz w:val="22"/>
          <w:szCs w:val="22"/>
          <w:lang w:eastAsia="en-US"/>
        </w:rPr>
      </w:pPr>
    </w:p>
    <w:p w14:paraId="65C7D94A" w14:textId="21E01994" w:rsidR="0081699F" w:rsidRPr="006E3AE8" w:rsidRDefault="008C1FDA" w:rsidP="006E3AE8">
      <w:pPr>
        <w:pStyle w:val="ListParagraph"/>
        <w:numPr>
          <w:ilvl w:val="0"/>
          <w:numId w:val="34"/>
        </w:numPr>
        <w:rPr>
          <w:rFonts w:ascii="Arial" w:hAnsi="Arial" w:cs="Consolas"/>
          <w:sz w:val="22"/>
          <w:szCs w:val="22"/>
          <w:lang w:eastAsia="en-US"/>
        </w:rPr>
      </w:pPr>
      <w:r w:rsidRPr="006E3AE8">
        <w:rPr>
          <w:rFonts w:ascii="Arial" w:hAnsi="Arial" w:cs="Consolas"/>
          <w:sz w:val="22"/>
          <w:szCs w:val="22"/>
          <w:lang w:eastAsia="en-US"/>
        </w:rPr>
        <w:t xml:space="preserve">Members of the </w:t>
      </w:r>
      <w:r w:rsidR="0081699F" w:rsidRPr="006E3AE8">
        <w:rPr>
          <w:rFonts w:ascii="Arial" w:hAnsi="Arial" w:cs="Consolas"/>
          <w:sz w:val="22"/>
          <w:szCs w:val="22"/>
          <w:lang w:eastAsia="en-US"/>
        </w:rPr>
        <w:t>Improvement and Innovation Board expressed an interest in understanding their role in SSRM</w:t>
      </w:r>
      <w:r w:rsidRPr="006E3AE8">
        <w:rPr>
          <w:rFonts w:ascii="Arial" w:hAnsi="Arial" w:cs="Consolas"/>
          <w:sz w:val="22"/>
          <w:szCs w:val="22"/>
          <w:lang w:eastAsia="en-US"/>
        </w:rPr>
        <w:t xml:space="preserve">. Members asked for </w:t>
      </w:r>
      <w:r w:rsidR="001B4E77" w:rsidRPr="006E3AE8">
        <w:rPr>
          <w:rFonts w:ascii="Arial" w:hAnsi="Arial" w:cs="Consolas"/>
          <w:sz w:val="22"/>
          <w:szCs w:val="22"/>
          <w:lang w:eastAsia="en-US"/>
        </w:rPr>
        <w:t xml:space="preserve">more information about ongoing due diligence of the financial situation of </w:t>
      </w:r>
      <w:r w:rsidR="0014701F" w:rsidRPr="006E3AE8">
        <w:rPr>
          <w:rFonts w:ascii="Arial" w:hAnsi="Arial" w:cs="Consolas"/>
          <w:sz w:val="22"/>
          <w:szCs w:val="22"/>
          <w:lang w:eastAsia="en-US"/>
        </w:rPr>
        <w:t>key suppliers.  Central g</w:t>
      </w:r>
      <w:r w:rsidR="001B4E77" w:rsidRPr="006E3AE8">
        <w:rPr>
          <w:rFonts w:ascii="Arial" w:hAnsi="Arial" w:cs="Consolas"/>
          <w:sz w:val="22"/>
          <w:szCs w:val="22"/>
          <w:lang w:eastAsia="en-US"/>
        </w:rPr>
        <w:t>overnment have recently issue</w:t>
      </w:r>
      <w:r w:rsidR="0014701F" w:rsidRPr="006E3AE8">
        <w:rPr>
          <w:rFonts w:ascii="Arial" w:hAnsi="Arial" w:cs="Consolas"/>
          <w:sz w:val="22"/>
          <w:szCs w:val="22"/>
          <w:lang w:eastAsia="en-US"/>
        </w:rPr>
        <w:t>d detailed guidance on this to d</w:t>
      </w:r>
      <w:r w:rsidR="001B4E77" w:rsidRPr="006E3AE8">
        <w:rPr>
          <w:rFonts w:ascii="Arial" w:hAnsi="Arial" w:cs="Consolas"/>
          <w:sz w:val="22"/>
          <w:szCs w:val="22"/>
          <w:lang w:eastAsia="en-US"/>
        </w:rPr>
        <w:t xml:space="preserve">epartments which can be used by councils.  This can be found here </w:t>
      </w:r>
      <w:hyperlink r:id="rId11" w:history="1">
        <w:r w:rsidR="001B4E77" w:rsidRPr="006E3AE8">
          <w:rPr>
            <w:rStyle w:val="Hyperlink"/>
            <w:rFonts w:ascii="Arial" w:hAnsi="Arial" w:cs="Consolas"/>
            <w:sz w:val="22"/>
            <w:szCs w:val="22"/>
            <w:lang w:eastAsia="en-US"/>
          </w:rPr>
          <w:t>https://assets.publishing.service.gov.uk/government/uploads/system/uploads/attachment_data/file/780065/20190220_AssessingMonitoringEconomicFinancialStandingGuidanceNote.pdf</w:t>
        </w:r>
      </w:hyperlink>
      <w:r w:rsidR="001B4E77" w:rsidRPr="006E3AE8">
        <w:rPr>
          <w:rFonts w:ascii="Arial" w:hAnsi="Arial" w:cs="Consolas"/>
          <w:sz w:val="22"/>
          <w:szCs w:val="22"/>
          <w:lang w:eastAsia="en-US"/>
        </w:rPr>
        <w:t xml:space="preserve"> </w:t>
      </w:r>
    </w:p>
    <w:p w14:paraId="3EE7DA8D" w14:textId="77777777" w:rsidR="001B4E77" w:rsidRDefault="001B4E77" w:rsidP="001B4E77">
      <w:pPr>
        <w:ind w:left="720" w:hanging="720"/>
        <w:rPr>
          <w:rFonts w:ascii="Arial" w:hAnsi="Arial" w:cs="Consolas"/>
          <w:sz w:val="22"/>
          <w:szCs w:val="22"/>
          <w:lang w:eastAsia="en-US"/>
        </w:rPr>
      </w:pPr>
    </w:p>
    <w:p w14:paraId="56DBE54F" w14:textId="566A9A59" w:rsidR="00B90934" w:rsidRPr="006E3AE8" w:rsidRDefault="0014701F" w:rsidP="006E3AE8">
      <w:pPr>
        <w:pStyle w:val="ListParagraph"/>
        <w:numPr>
          <w:ilvl w:val="0"/>
          <w:numId w:val="34"/>
        </w:numPr>
        <w:rPr>
          <w:rFonts w:ascii="Arial" w:hAnsi="Arial" w:cs="Consolas"/>
          <w:sz w:val="22"/>
          <w:szCs w:val="22"/>
          <w:lang w:eastAsia="en-US"/>
        </w:rPr>
      </w:pPr>
      <w:r w:rsidRPr="006E3AE8">
        <w:rPr>
          <w:rFonts w:ascii="Arial" w:hAnsi="Arial" w:cs="Consolas"/>
          <w:sz w:val="22"/>
          <w:szCs w:val="22"/>
          <w:lang w:eastAsia="en-US"/>
        </w:rPr>
        <w:lastRenderedPageBreak/>
        <w:t>The g</w:t>
      </w:r>
      <w:r w:rsidR="001C3243" w:rsidRPr="006E3AE8">
        <w:rPr>
          <w:rFonts w:ascii="Arial" w:hAnsi="Arial" w:cs="Consolas"/>
          <w:sz w:val="22"/>
          <w:szCs w:val="22"/>
          <w:lang w:eastAsia="en-US"/>
        </w:rPr>
        <w:t>overnment guidance outlines a number of indicators that might signal financial distress of a supplier:</w:t>
      </w:r>
    </w:p>
    <w:p w14:paraId="6CB4301E" w14:textId="77777777" w:rsidR="0014701F" w:rsidRDefault="0014701F" w:rsidP="001B4E77">
      <w:pPr>
        <w:ind w:left="720" w:hanging="720"/>
        <w:rPr>
          <w:rFonts w:ascii="Arial" w:hAnsi="Arial" w:cs="Consolas"/>
          <w:sz w:val="22"/>
          <w:szCs w:val="22"/>
          <w:lang w:eastAsia="en-US"/>
        </w:rPr>
      </w:pPr>
    </w:p>
    <w:tbl>
      <w:tblPr>
        <w:tblStyle w:val="TableGrid"/>
        <w:tblW w:w="0" w:type="auto"/>
        <w:tblInd w:w="720" w:type="dxa"/>
        <w:tblLook w:val="04A0" w:firstRow="1" w:lastRow="0" w:firstColumn="1" w:lastColumn="0" w:noHBand="0" w:noVBand="1"/>
      </w:tblPr>
      <w:tblGrid>
        <w:gridCol w:w="2494"/>
        <w:gridCol w:w="2588"/>
        <w:gridCol w:w="2494"/>
      </w:tblGrid>
      <w:tr w:rsidR="009645D1" w:rsidRPr="00D07E53" w14:paraId="4AEC8544" w14:textId="77777777" w:rsidTr="009645D1">
        <w:tc>
          <w:tcPr>
            <w:tcW w:w="2494" w:type="dxa"/>
          </w:tcPr>
          <w:p w14:paraId="39465DBC" w14:textId="77777777" w:rsidR="009645D1" w:rsidRPr="0014701F" w:rsidRDefault="009645D1" w:rsidP="001B4E77">
            <w:pPr>
              <w:rPr>
                <w:rFonts w:ascii="Arial" w:hAnsi="Arial" w:cs="Arial"/>
                <w:sz w:val="22"/>
                <w:szCs w:val="20"/>
                <w:lang w:eastAsia="en-US"/>
              </w:rPr>
            </w:pPr>
          </w:p>
        </w:tc>
        <w:tc>
          <w:tcPr>
            <w:tcW w:w="2588" w:type="dxa"/>
          </w:tcPr>
          <w:p w14:paraId="5B86B895" w14:textId="77777777" w:rsidR="009645D1" w:rsidRPr="0014701F" w:rsidRDefault="00D07E53" w:rsidP="001B4E77">
            <w:pPr>
              <w:rPr>
                <w:rFonts w:ascii="Arial" w:hAnsi="Arial" w:cs="Arial"/>
                <w:b/>
                <w:sz w:val="22"/>
                <w:szCs w:val="20"/>
                <w:lang w:eastAsia="en-US"/>
              </w:rPr>
            </w:pPr>
            <w:r w:rsidRPr="0014701F">
              <w:rPr>
                <w:rFonts w:ascii="Arial" w:hAnsi="Arial" w:cs="Arial"/>
                <w:b/>
                <w:sz w:val="22"/>
                <w:szCs w:val="20"/>
                <w:lang w:eastAsia="en-US"/>
              </w:rPr>
              <w:t>Financial</w:t>
            </w:r>
          </w:p>
        </w:tc>
        <w:tc>
          <w:tcPr>
            <w:tcW w:w="2494" w:type="dxa"/>
          </w:tcPr>
          <w:p w14:paraId="5A640A50" w14:textId="77777777" w:rsidR="009645D1" w:rsidRPr="0014701F" w:rsidRDefault="00D07E53" w:rsidP="001B4E77">
            <w:pPr>
              <w:rPr>
                <w:rFonts w:ascii="Arial" w:hAnsi="Arial" w:cs="Arial"/>
                <w:b/>
                <w:sz w:val="22"/>
                <w:szCs w:val="20"/>
                <w:lang w:eastAsia="en-US"/>
              </w:rPr>
            </w:pPr>
            <w:r w:rsidRPr="0014701F">
              <w:rPr>
                <w:rFonts w:ascii="Arial" w:hAnsi="Arial" w:cs="Arial"/>
                <w:b/>
                <w:sz w:val="22"/>
                <w:szCs w:val="20"/>
                <w:lang w:eastAsia="en-US"/>
              </w:rPr>
              <w:t>Non-Financial</w:t>
            </w:r>
          </w:p>
        </w:tc>
      </w:tr>
      <w:tr w:rsidR="009645D1" w:rsidRPr="00D07E53" w14:paraId="13CAC7AD" w14:textId="77777777" w:rsidTr="009645D1">
        <w:tc>
          <w:tcPr>
            <w:tcW w:w="2494" w:type="dxa"/>
          </w:tcPr>
          <w:p w14:paraId="6EC15240" w14:textId="77777777" w:rsidR="009645D1" w:rsidRPr="0014701F" w:rsidRDefault="009645D1" w:rsidP="009645D1">
            <w:pPr>
              <w:pStyle w:val="Default"/>
              <w:rPr>
                <w:sz w:val="22"/>
                <w:szCs w:val="20"/>
              </w:rPr>
            </w:pPr>
            <w:r w:rsidRPr="0014701F">
              <w:rPr>
                <w:b/>
                <w:bCs/>
                <w:i/>
                <w:iCs/>
                <w:sz w:val="22"/>
                <w:szCs w:val="20"/>
              </w:rPr>
              <w:t xml:space="preserve">Business performance / Operating efficiency </w:t>
            </w:r>
          </w:p>
        </w:tc>
        <w:tc>
          <w:tcPr>
            <w:tcW w:w="2588" w:type="dxa"/>
          </w:tcPr>
          <w:p w14:paraId="097D4535" w14:textId="77777777" w:rsidR="009645D1" w:rsidRPr="0014701F" w:rsidRDefault="009645D1" w:rsidP="009645D1">
            <w:pPr>
              <w:pStyle w:val="Default"/>
              <w:rPr>
                <w:sz w:val="22"/>
                <w:szCs w:val="20"/>
              </w:rPr>
            </w:pPr>
            <w:r w:rsidRPr="0014701F">
              <w:rPr>
                <w:sz w:val="22"/>
                <w:szCs w:val="20"/>
              </w:rPr>
              <w:t xml:space="preserve">● Adverse changes in the market / market structure </w:t>
            </w:r>
          </w:p>
          <w:p w14:paraId="25D4C1B8" w14:textId="77777777" w:rsidR="009645D1" w:rsidRPr="0014701F" w:rsidRDefault="009645D1" w:rsidP="009645D1">
            <w:pPr>
              <w:pStyle w:val="Default"/>
              <w:rPr>
                <w:sz w:val="22"/>
                <w:szCs w:val="20"/>
              </w:rPr>
            </w:pPr>
            <w:r w:rsidRPr="0014701F">
              <w:rPr>
                <w:sz w:val="22"/>
                <w:szCs w:val="20"/>
              </w:rPr>
              <w:t xml:space="preserve">● Declining revenues </w:t>
            </w:r>
          </w:p>
          <w:p w14:paraId="6E1883E9" w14:textId="77777777" w:rsidR="009645D1" w:rsidRPr="0014701F" w:rsidRDefault="009645D1" w:rsidP="009645D1">
            <w:pPr>
              <w:pStyle w:val="Default"/>
              <w:rPr>
                <w:sz w:val="22"/>
                <w:szCs w:val="20"/>
              </w:rPr>
            </w:pPr>
            <w:r w:rsidRPr="0014701F">
              <w:rPr>
                <w:sz w:val="22"/>
                <w:szCs w:val="20"/>
              </w:rPr>
              <w:t xml:space="preserve">● Declining profit margins </w:t>
            </w:r>
          </w:p>
          <w:p w14:paraId="3D897A34" w14:textId="2D3834DC" w:rsidR="009645D1" w:rsidRPr="0014701F" w:rsidRDefault="00B90934" w:rsidP="009645D1">
            <w:pPr>
              <w:pStyle w:val="Default"/>
              <w:rPr>
                <w:sz w:val="22"/>
                <w:szCs w:val="20"/>
              </w:rPr>
            </w:pPr>
            <w:r w:rsidRPr="0014701F">
              <w:rPr>
                <w:sz w:val="22"/>
                <w:szCs w:val="20"/>
              </w:rPr>
              <w:t>● Declining r</w:t>
            </w:r>
            <w:r w:rsidR="009645D1" w:rsidRPr="0014701F">
              <w:rPr>
                <w:sz w:val="22"/>
                <w:szCs w:val="20"/>
              </w:rPr>
              <w:t xml:space="preserve">eturn on Capital Employed </w:t>
            </w:r>
          </w:p>
          <w:p w14:paraId="5E2200C5" w14:textId="77777777" w:rsidR="009645D1" w:rsidRPr="0014701F" w:rsidRDefault="009645D1" w:rsidP="009645D1">
            <w:pPr>
              <w:pStyle w:val="Default"/>
              <w:rPr>
                <w:sz w:val="22"/>
                <w:szCs w:val="20"/>
              </w:rPr>
            </w:pPr>
            <w:r w:rsidRPr="0014701F">
              <w:rPr>
                <w:sz w:val="22"/>
                <w:szCs w:val="20"/>
              </w:rPr>
              <w:t xml:space="preserve">● Declining cash conversion </w:t>
            </w:r>
          </w:p>
          <w:p w14:paraId="59846446" w14:textId="77777777" w:rsidR="009645D1" w:rsidRPr="0014701F" w:rsidRDefault="009645D1" w:rsidP="009645D1">
            <w:pPr>
              <w:pStyle w:val="Default"/>
              <w:rPr>
                <w:sz w:val="22"/>
                <w:szCs w:val="20"/>
              </w:rPr>
            </w:pPr>
            <w:r w:rsidRPr="0014701F">
              <w:rPr>
                <w:sz w:val="22"/>
                <w:szCs w:val="20"/>
              </w:rPr>
              <w:t xml:space="preserve">● Public profit warnings </w:t>
            </w:r>
          </w:p>
          <w:p w14:paraId="4707C20C" w14:textId="77777777" w:rsidR="009645D1" w:rsidRPr="0014701F" w:rsidRDefault="009645D1" w:rsidP="009645D1">
            <w:pPr>
              <w:pStyle w:val="Default"/>
              <w:rPr>
                <w:sz w:val="22"/>
                <w:szCs w:val="20"/>
              </w:rPr>
            </w:pPr>
            <w:r w:rsidRPr="0014701F">
              <w:rPr>
                <w:sz w:val="22"/>
                <w:szCs w:val="20"/>
              </w:rPr>
              <w:t xml:space="preserve">● Increases in creditor days / Delayed payments to suppliers </w:t>
            </w:r>
          </w:p>
          <w:p w14:paraId="0FAC206D" w14:textId="77777777" w:rsidR="009645D1" w:rsidRPr="0014701F" w:rsidRDefault="009645D1" w:rsidP="009645D1">
            <w:pPr>
              <w:pStyle w:val="Default"/>
              <w:rPr>
                <w:sz w:val="22"/>
                <w:szCs w:val="20"/>
              </w:rPr>
            </w:pPr>
            <w:r w:rsidRPr="0014701F">
              <w:rPr>
                <w:sz w:val="22"/>
                <w:szCs w:val="20"/>
              </w:rPr>
              <w:t xml:space="preserve">● Decreases in debtor days </w:t>
            </w:r>
          </w:p>
          <w:p w14:paraId="5964B5CF" w14:textId="77777777" w:rsidR="009645D1" w:rsidRPr="0014701F" w:rsidRDefault="009645D1" w:rsidP="009645D1">
            <w:pPr>
              <w:pStyle w:val="Default"/>
              <w:rPr>
                <w:sz w:val="22"/>
                <w:szCs w:val="20"/>
              </w:rPr>
            </w:pPr>
            <w:r w:rsidRPr="0014701F">
              <w:rPr>
                <w:sz w:val="22"/>
                <w:szCs w:val="20"/>
              </w:rPr>
              <w:t xml:space="preserve">● Declining stock turnover </w:t>
            </w:r>
          </w:p>
          <w:p w14:paraId="079FB998" w14:textId="77777777" w:rsidR="009645D1" w:rsidRPr="0014701F" w:rsidRDefault="009645D1" w:rsidP="009645D1">
            <w:pPr>
              <w:pStyle w:val="Default"/>
              <w:rPr>
                <w:sz w:val="22"/>
                <w:szCs w:val="20"/>
              </w:rPr>
            </w:pPr>
          </w:p>
        </w:tc>
        <w:tc>
          <w:tcPr>
            <w:tcW w:w="2494" w:type="dxa"/>
          </w:tcPr>
          <w:p w14:paraId="159FA535" w14:textId="77777777" w:rsidR="009645D1" w:rsidRPr="0014701F" w:rsidRDefault="009645D1" w:rsidP="009645D1">
            <w:pPr>
              <w:pStyle w:val="Default"/>
              <w:rPr>
                <w:sz w:val="22"/>
                <w:szCs w:val="20"/>
              </w:rPr>
            </w:pPr>
            <w:r w:rsidRPr="0014701F">
              <w:rPr>
                <w:sz w:val="22"/>
                <w:szCs w:val="20"/>
              </w:rPr>
              <w:t xml:space="preserve">● Unexpected resignations of key management / High employee turnover </w:t>
            </w:r>
          </w:p>
          <w:p w14:paraId="2891A371" w14:textId="77777777" w:rsidR="009645D1" w:rsidRPr="0014701F" w:rsidRDefault="009645D1" w:rsidP="009645D1">
            <w:pPr>
              <w:pStyle w:val="Default"/>
              <w:rPr>
                <w:sz w:val="22"/>
                <w:szCs w:val="20"/>
              </w:rPr>
            </w:pPr>
            <w:r w:rsidRPr="0014701F">
              <w:rPr>
                <w:sz w:val="22"/>
                <w:szCs w:val="20"/>
              </w:rPr>
              <w:t xml:space="preserve">● Weak management or overly controlling CEO </w:t>
            </w:r>
          </w:p>
          <w:p w14:paraId="763800F0" w14:textId="77777777" w:rsidR="009645D1" w:rsidRPr="0014701F" w:rsidRDefault="009645D1" w:rsidP="009645D1">
            <w:pPr>
              <w:pStyle w:val="Default"/>
              <w:rPr>
                <w:sz w:val="22"/>
                <w:szCs w:val="20"/>
              </w:rPr>
            </w:pPr>
            <w:r w:rsidRPr="0014701F">
              <w:rPr>
                <w:sz w:val="22"/>
                <w:szCs w:val="20"/>
              </w:rPr>
              <w:t xml:space="preserve">● Delayed filing of statutory accounts / late provision of management information </w:t>
            </w:r>
          </w:p>
          <w:p w14:paraId="5D88DDB0" w14:textId="77777777" w:rsidR="009645D1" w:rsidRPr="0014701F" w:rsidRDefault="009645D1" w:rsidP="009645D1">
            <w:pPr>
              <w:pStyle w:val="Default"/>
              <w:rPr>
                <w:sz w:val="22"/>
                <w:szCs w:val="20"/>
              </w:rPr>
            </w:pPr>
            <w:r w:rsidRPr="0014701F">
              <w:rPr>
                <w:sz w:val="22"/>
                <w:szCs w:val="20"/>
              </w:rPr>
              <w:t xml:space="preserve">● Competitor gossip / market intelligence </w:t>
            </w:r>
          </w:p>
          <w:p w14:paraId="66AD955B" w14:textId="77777777" w:rsidR="009645D1" w:rsidRPr="0014701F" w:rsidRDefault="009645D1" w:rsidP="009645D1">
            <w:pPr>
              <w:pStyle w:val="Default"/>
              <w:rPr>
                <w:sz w:val="22"/>
                <w:szCs w:val="20"/>
              </w:rPr>
            </w:pPr>
            <w:r w:rsidRPr="0014701F">
              <w:rPr>
                <w:sz w:val="22"/>
                <w:szCs w:val="20"/>
              </w:rPr>
              <w:t xml:space="preserve">● Regulatory action </w:t>
            </w:r>
          </w:p>
          <w:p w14:paraId="2C47BDE5" w14:textId="77777777" w:rsidR="009645D1" w:rsidRPr="0014701F" w:rsidRDefault="009645D1" w:rsidP="009645D1">
            <w:pPr>
              <w:pStyle w:val="Default"/>
              <w:rPr>
                <w:sz w:val="22"/>
                <w:szCs w:val="20"/>
              </w:rPr>
            </w:pPr>
            <w:r w:rsidRPr="0014701F">
              <w:rPr>
                <w:sz w:val="22"/>
                <w:szCs w:val="20"/>
              </w:rPr>
              <w:t xml:space="preserve">● Declining share price / Sudden share price falls / Significant shorting of shares </w:t>
            </w:r>
          </w:p>
          <w:p w14:paraId="574CBB01" w14:textId="77777777" w:rsidR="009645D1" w:rsidRPr="0014701F" w:rsidRDefault="009645D1" w:rsidP="009645D1">
            <w:pPr>
              <w:pStyle w:val="Default"/>
              <w:rPr>
                <w:sz w:val="22"/>
                <w:szCs w:val="20"/>
              </w:rPr>
            </w:pPr>
            <w:r w:rsidRPr="0014701F">
              <w:rPr>
                <w:sz w:val="22"/>
                <w:szCs w:val="20"/>
              </w:rPr>
              <w:t xml:space="preserve">● Major adverse announcements (e.g. major litigation, large contract losses, </w:t>
            </w:r>
            <w:proofErr w:type="spellStart"/>
            <w:r w:rsidRPr="0014701F">
              <w:rPr>
                <w:sz w:val="22"/>
                <w:szCs w:val="20"/>
              </w:rPr>
              <w:t>etc</w:t>
            </w:r>
            <w:proofErr w:type="spellEnd"/>
            <w:r w:rsidRPr="0014701F">
              <w:rPr>
                <w:sz w:val="22"/>
                <w:szCs w:val="20"/>
              </w:rPr>
              <w:t xml:space="preserve">) </w:t>
            </w:r>
          </w:p>
          <w:p w14:paraId="35AEF3C6" w14:textId="77777777" w:rsidR="009645D1" w:rsidRPr="0014701F" w:rsidRDefault="009645D1" w:rsidP="009645D1">
            <w:pPr>
              <w:pStyle w:val="Default"/>
              <w:rPr>
                <w:sz w:val="22"/>
                <w:szCs w:val="20"/>
              </w:rPr>
            </w:pPr>
          </w:p>
        </w:tc>
      </w:tr>
      <w:tr w:rsidR="009645D1" w:rsidRPr="00D07E53" w14:paraId="540DD002" w14:textId="77777777" w:rsidTr="009645D1">
        <w:tc>
          <w:tcPr>
            <w:tcW w:w="2494" w:type="dxa"/>
          </w:tcPr>
          <w:p w14:paraId="655AFC08" w14:textId="77777777" w:rsidR="009645D1" w:rsidRPr="0014701F" w:rsidRDefault="009645D1" w:rsidP="009645D1">
            <w:pPr>
              <w:pStyle w:val="Default"/>
              <w:rPr>
                <w:sz w:val="22"/>
                <w:szCs w:val="20"/>
              </w:rPr>
            </w:pPr>
            <w:r w:rsidRPr="0014701F">
              <w:rPr>
                <w:b/>
                <w:bCs/>
                <w:i/>
                <w:iCs/>
                <w:sz w:val="22"/>
                <w:szCs w:val="20"/>
              </w:rPr>
              <w:t xml:space="preserve">Liquidity / Solvency </w:t>
            </w:r>
          </w:p>
          <w:p w14:paraId="6E83A3FB" w14:textId="77777777" w:rsidR="009645D1" w:rsidRPr="0014701F" w:rsidRDefault="009645D1" w:rsidP="009645D1">
            <w:pPr>
              <w:rPr>
                <w:rFonts w:ascii="Arial" w:hAnsi="Arial" w:cs="Arial"/>
                <w:sz w:val="22"/>
                <w:szCs w:val="20"/>
                <w:lang w:eastAsia="en-US"/>
              </w:rPr>
            </w:pPr>
          </w:p>
        </w:tc>
        <w:tc>
          <w:tcPr>
            <w:tcW w:w="2588" w:type="dxa"/>
          </w:tcPr>
          <w:p w14:paraId="4B36D5A9" w14:textId="77777777" w:rsidR="009645D1" w:rsidRPr="0014701F" w:rsidRDefault="009645D1" w:rsidP="009645D1">
            <w:pPr>
              <w:pStyle w:val="Default"/>
              <w:rPr>
                <w:sz w:val="22"/>
                <w:szCs w:val="20"/>
              </w:rPr>
            </w:pPr>
            <w:r w:rsidRPr="0014701F">
              <w:rPr>
                <w:sz w:val="22"/>
                <w:szCs w:val="20"/>
              </w:rPr>
              <w:t xml:space="preserve">High / Rising net debt to EBITDA </w:t>
            </w:r>
          </w:p>
          <w:p w14:paraId="11AF8971" w14:textId="77777777" w:rsidR="009645D1" w:rsidRPr="0014701F" w:rsidRDefault="009645D1" w:rsidP="009645D1">
            <w:pPr>
              <w:pStyle w:val="Default"/>
              <w:rPr>
                <w:sz w:val="22"/>
                <w:szCs w:val="20"/>
              </w:rPr>
            </w:pPr>
            <w:r w:rsidRPr="0014701F">
              <w:rPr>
                <w:sz w:val="22"/>
                <w:szCs w:val="20"/>
              </w:rPr>
              <w:t xml:space="preserve">● Declining interest cover </w:t>
            </w:r>
          </w:p>
          <w:p w14:paraId="16386DC0" w14:textId="77777777" w:rsidR="009645D1" w:rsidRPr="0014701F" w:rsidRDefault="009645D1" w:rsidP="009645D1">
            <w:pPr>
              <w:pStyle w:val="Default"/>
              <w:rPr>
                <w:sz w:val="22"/>
                <w:szCs w:val="20"/>
              </w:rPr>
            </w:pPr>
            <w:r w:rsidRPr="0014701F">
              <w:rPr>
                <w:sz w:val="22"/>
                <w:szCs w:val="20"/>
              </w:rPr>
              <w:t xml:space="preserve">● High / Rising gearing </w:t>
            </w:r>
          </w:p>
          <w:p w14:paraId="0DD70CFC" w14:textId="77777777" w:rsidR="009645D1" w:rsidRPr="0014701F" w:rsidRDefault="009645D1" w:rsidP="009645D1">
            <w:pPr>
              <w:pStyle w:val="Default"/>
              <w:rPr>
                <w:sz w:val="22"/>
                <w:szCs w:val="20"/>
              </w:rPr>
            </w:pPr>
            <w:r w:rsidRPr="0014701F">
              <w:rPr>
                <w:sz w:val="22"/>
                <w:szCs w:val="20"/>
              </w:rPr>
              <w:t xml:space="preserve">● Deteriorating liquidity / Declining headroom </w:t>
            </w:r>
          </w:p>
          <w:p w14:paraId="0E19D5CC" w14:textId="77777777" w:rsidR="009645D1" w:rsidRPr="0014701F" w:rsidRDefault="009645D1" w:rsidP="009645D1">
            <w:pPr>
              <w:pStyle w:val="Default"/>
              <w:rPr>
                <w:sz w:val="22"/>
                <w:szCs w:val="20"/>
              </w:rPr>
            </w:pPr>
            <w:r w:rsidRPr="0014701F">
              <w:rPr>
                <w:sz w:val="22"/>
                <w:szCs w:val="20"/>
              </w:rPr>
              <w:t xml:space="preserve">● Lending covenant breaches </w:t>
            </w:r>
          </w:p>
          <w:p w14:paraId="102BBA12" w14:textId="77777777" w:rsidR="009645D1" w:rsidRPr="0014701F" w:rsidRDefault="009645D1" w:rsidP="009645D1">
            <w:pPr>
              <w:pStyle w:val="Default"/>
              <w:rPr>
                <w:sz w:val="22"/>
                <w:szCs w:val="20"/>
              </w:rPr>
            </w:pPr>
            <w:r w:rsidRPr="0014701F">
              <w:rPr>
                <w:sz w:val="22"/>
                <w:szCs w:val="20"/>
              </w:rPr>
              <w:t xml:space="preserve">● Increasing reliance on short-term or uncommitted debt </w:t>
            </w:r>
          </w:p>
          <w:p w14:paraId="788DF889" w14:textId="77777777" w:rsidR="009645D1" w:rsidRPr="0014701F" w:rsidRDefault="009645D1" w:rsidP="009645D1">
            <w:pPr>
              <w:pStyle w:val="Default"/>
              <w:rPr>
                <w:sz w:val="22"/>
                <w:szCs w:val="20"/>
              </w:rPr>
            </w:pPr>
            <w:r w:rsidRPr="0014701F">
              <w:rPr>
                <w:sz w:val="22"/>
                <w:szCs w:val="20"/>
              </w:rPr>
              <w:t xml:space="preserve">● Use of non-standard financing markets </w:t>
            </w:r>
          </w:p>
          <w:p w14:paraId="7984A237" w14:textId="77777777" w:rsidR="009645D1" w:rsidRPr="0014701F" w:rsidRDefault="009645D1" w:rsidP="009645D1">
            <w:pPr>
              <w:pStyle w:val="Default"/>
              <w:rPr>
                <w:sz w:val="22"/>
                <w:szCs w:val="20"/>
              </w:rPr>
            </w:pPr>
            <w:r w:rsidRPr="0014701F">
              <w:rPr>
                <w:sz w:val="22"/>
                <w:szCs w:val="20"/>
              </w:rPr>
              <w:t xml:space="preserve">● Going concern qualifications in published accounts </w:t>
            </w:r>
          </w:p>
          <w:p w14:paraId="70502152" w14:textId="77777777" w:rsidR="009645D1" w:rsidRPr="0014701F" w:rsidRDefault="009645D1" w:rsidP="009645D1">
            <w:pPr>
              <w:pStyle w:val="Default"/>
              <w:rPr>
                <w:sz w:val="22"/>
                <w:szCs w:val="20"/>
              </w:rPr>
            </w:pPr>
            <w:r w:rsidRPr="0014701F">
              <w:rPr>
                <w:sz w:val="22"/>
                <w:szCs w:val="20"/>
              </w:rPr>
              <w:t xml:space="preserve">● Requests for payments in advance </w:t>
            </w:r>
          </w:p>
          <w:p w14:paraId="4D1B450B" w14:textId="77777777" w:rsidR="009645D1" w:rsidRPr="0014701F" w:rsidRDefault="009645D1" w:rsidP="009645D1">
            <w:pPr>
              <w:pStyle w:val="Default"/>
              <w:rPr>
                <w:sz w:val="22"/>
                <w:szCs w:val="20"/>
              </w:rPr>
            </w:pPr>
            <w:r w:rsidRPr="0014701F">
              <w:rPr>
                <w:sz w:val="22"/>
                <w:szCs w:val="20"/>
              </w:rPr>
              <w:t xml:space="preserve">● Invoice discounting / Factoring / Other means of raising short-term cash </w:t>
            </w:r>
          </w:p>
          <w:p w14:paraId="2A349362" w14:textId="77777777" w:rsidR="009645D1" w:rsidRPr="0014701F" w:rsidRDefault="009645D1" w:rsidP="009645D1">
            <w:pPr>
              <w:pStyle w:val="Default"/>
              <w:rPr>
                <w:sz w:val="22"/>
                <w:szCs w:val="20"/>
              </w:rPr>
            </w:pPr>
            <w:r w:rsidRPr="0014701F">
              <w:rPr>
                <w:sz w:val="22"/>
                <w:szCs w:val="20"/>
              </w:rPr>
              <w:lastRenderedPageBreak/>
              <w:t xml:space="preserve">● Rising pension deficits </w:t>
            </w:r>
          </w:p>
          <w:p w14:paraId="3E06EF04" w14:textId="77777777" w:rsidR="009645D1" w:rsidRPr="0014701F" w:rsidRDefault="009645D1" w:rsidP="009645D1">
            <w:pPr>
              <w:pStyle w:val="Default"/>
              <w:rPr>
                <w:sz w:val="22"/>
                <w:szCs w:val="20"/>
              </w:rPr>
            </w:pPr>
            <w:r w:rsidRPr="0014701F">
              <w:rPr>
                <w:sz w:val="22"/>
                <w:szCs w:val="20"/>
              </w:rPr>
              <w:t xml:space="preserve">● Rising contingent liabilities </w:t>
            </w:r>
          </w:p>
          <w:p w14:paraId="2B0C532E" w14:textId="77777777" w:rsidR="009645D1" w:rsidRPr="0014701F" w:rsidRDefault="009645D1" w:rsidP="00CB3BCA">
            <w:pPr>
              <w:pStyle w:val="Default"/>
              <w:rPr>
                <w:sz w:val="22"/>
                <w:szCs w:val="20"/>
              </w:rPr>
            </w:pPr>
            <w:r w:rsidRPr="0014701F">
              <w:rPr>
                <w:sz w:val="22"/>
                <w:szCs w:val="20"/>
              </w:rPr>
              <w:t xml:space="preserve">● Cuts in / Cancelled dividends </w:t>
            </w:r>
          </w:p>
        </w:tc>
        <w:tc>
          <w:tcPr>
            <w:tcW w:w="2494" w:type="dxa"/>
          </w:tcPr>
          <w:p w14:paraId="12DFE6AD" w14:textId="77777777" w:rsidR="009645D1" w:rsidRPr="0014701F" w:rsidRDefault="009645D1" w:rsidP="009645D1">
            <w:pPr>
              <w:pStyle w:val="Default"/>
              <w:rPr>
                <w:sz w:val="22"/>
                <w:szCs w:val="20"/>
              </w:rPr>
            </w:pPr>
            <w:r w:rsidRPr="0014701F">
              <w:rPr>
                <w:sz w:val="22"/>
                <w:szCs w:val="20"/>
              </w:rPr>
              <w:lastRenderedPageBreak/>
              <w:t xml:space="preserve">● Poor or deteriorating relationship with Lenders </w:t>
            </w:r>
          </w:p>
          <w:p w14:paraId="32A141F5" w14:textId="77777777" w:rsidR="009645D1" w:rsidRPr="0014701F" w:rsidRDefault="009645D1" w:rsidP="009645D1">
            <w:pPr>
              <w:pStyle w:val="Default"/>
              <w:rPr>
                <w:sz w:val="22"/>
                <w:szCs w:val="20"/>
              </w:rPr>
            </w:pPr>
            <w:r w:rsidRPr="0014701F">
              <w:rPr>
                <w:sz w:val="22"/>
                <w:szCs w:val="20"/>
              </w:rPr>
              <w:t xml:space="preserve">● Withdrawal of coverage of a supplier’s debts by credit insurers </w:t>
            </w:r>
          </w:p>
          <w:p w14:paraId="6F6C15F0" w14:textId="77777777" w:rsidR="009645D1" w:rsidRPr="0014701F" w:rsidRDefault="009645D1" w:rsidP="009645D1">
            <w:pPr>
              <w:pStyle w:val="Default"/>
              <w:rPr>
                <w:sz w:val="22"/>
                <w:szCs w:val="20"/>
              </w:rPr>
            </w:pPr>
            <w:r w:rsidRPr="0014701F">
              <w:rPr>
                <w:sz w:val="22"/>
                <w:szCs w:val="20"/>
              </w:rPr>
              <w:t xml:space="preserve">● Falls in or withdrawal of credit ratings (or announcements of credit watch with negative implications) by major credit agencies </w:t>
            </w:r>
          </w:p>
          <w:p w14:paraId="20929266" w14:textId="1A745B7A" w:rsidR="009645D1" w:rsidRPr="0014701F" w:rsidRDefault="009645D1" w:rsidP="009645D1">
            <w:pPr>
              <w:pStyle w:val="Default"/>
              <w:rPr>
                <w:sz w:val="22"/>
                <w:szCs w:val="20"/>
              </w:rPr>
            </w:pPr>
            <w:r w:rsidRPr="0014701F">
              <w:rPr>
                <w:sz w:val="22"/>
                <w:szCs w:val="20"/>
              </w:rPr>
              <w:t>● Company Watch H score falling below 25 / Dun and Br</w:t>
            </w:r>
            <w:r w:rsidR="0014701F">
              <w:rPr>
                <w:sz w:val="22"/>
                <w:szCs w:val="20"/>
              </w:rPr>
              <w:t>adstreet score falling below 10.</w:t>
            </w:r>
          </w:p>
          <w:p w14:paraId="3207106C" w14:textId="77777777" w:rsidR="009645D1" w:rsidRPr="0014701F" w:rsidRDefault="009645D1" w:rsidP="009645D1">
            <w:pPr>
              <w:pStyle w:val="Default"/>
              <w:rPr>
                <w:sz w:val="22"/>
                <w:szCs w:val="20"/>
              </w:rPr>
            </w:pPr>
          </w:p>
        </w:tc>
      </w:tr>
    </w:tbl>
    <w:p w14:paraId="30F1AF39" w14:textId="77777777" w:rsidR="009645D1" w:rsidRPr="0081699F" w:rsidRDefault="009645D1" w:rsidP="001B4E77">
      <w:pPr>
        <w:ind w:left="720" w:hanging="720"/>
        <w:rPr>
          <w:rFonts w:ascii="Arial" w:hAnsi="Arial" w:cs="Consolas"/>
          <w:sz w:val="22"/>
          <w:szCs w:val="22"/>
          <w:lang w:eastAsia="en-US"/>
        </w:rPr>
      </w:pPr>
    </w:p>
    <w:p w14:paraId="42DBF706" w14:textId="77777777" w:rsidR="00E4028D" w:rsidRPr="00E4028D" w:rsidRDefault="00E4028D" w:rsidP="00E4028D">
      <w:pPr>
        <w:ind w:left="720" w:hanging="720"/>
        <w:rPr>
          <w:rFonts w:ascii="Arial" w:hAnsi="Arial" w:cs="Consolas"/>
          <w:sz w:val="22"/>
          <w:szCs w:val="22"/>
          <w:lang w:eastAsia="en-US"/>
        </w:rPr>
      </w:pPr>
    </w:p>
    <w:p w14:paraId="0BA06871" w14:textId="17A97532" w:rsidR="00E4028D" w:rsidRPr="006E3AE8" w:rsidRDefault="007E42E9" w:rsidP="006E3AE8">
      <w:pPr>
        <w:pStyle w:val="ListParagraph"/>
        <w:numPr>
          <w:ilvl w:val="0"/>
          <w:numId w:val="34"/>
        </w:numPr>
        <w:rPr>
          <w:rFonts w:ascii="Arial" w:hAnsi="Arial" w:cs="Consolas"/>
          <w:sz w:val="22"/>
          <w:szCs w:val="22"/>
          <w:lang w:eastAsia="en-US"/>
        </w:rPr>
      </w:pPr>
      <w:r w:rsidRPr="006E3AE8">
        <w:rPr>
          <w:rFonts w:ascii="Arial" w:hAnsi="Arial" w:cs="Consolas"/>
          <w:sz w:val="22"/>
          <w:szCs w:val="22"/>
          <w:lang w:eastAsia="en-US"/>
        </w:rPr>
        <w:t xml:space="preserve">The Councillor Guide, </w:t>
      </w:r>
      <w:r w:rsidR="001E3B37" w:rsidRPr="006E3AE8">
        <w:rPr>
          <w:rFonts w:ascii="Arial" w:hAnsi="Arial" w:cs="Consolas"/>
          <w:sz w:val="22"/>
          <w:szCs w:val="22"/>
          <w:lang w:eastAsia="en-US"/>
        </w:rPr>
        <w:t>mentioned</w:t>
      </w:r>
      <w:r w:rsidRPr="006E3AE8">
        <w:rPr>
          <w:rFonts w:ascii="Arial" w:hAnsi="Arial" w:cs="Consolas"/>
          <w:sz w:val="22"/>
          <w:szCs w:val="22"/>
          <w:lang w:eastAsia="en-US"/>
        </w:rPr>
        <w:t xml:space="preserve"> above, will </w:t>
      </w:r>
      <w:r w:rsidR="002667E8" w:rsidRPr="006E3AE8">
        <w:rPr>
          <w:rFonts w:ascii="Arial" w:hAnsi="Arial" w:cs="Consolas"/>
          <w:sz w:val="22"/>
          <w:szCs w:val="22"/>
          <w:lang w:eastAsia="en-US"/>
        </w:rPr>
        <w:t xml:space="preserve">include </w:t>
      </w:r>
      <w:r w:rsidRPr="006E3AE8">
        <w:rPr>
          <w:rFonts w:ascii="Arial" w:hAnsi="Arial" w:cs="Consolas"/>
          <w:sz w:val="22"/>
          <w:szCs w:val="22"/>
          <w:lang w:eastAsia="en-US"/>
        </w:rPr>
        <w:t>a number of key questions for councillors to ask in relation to their organisation’s key suppliers</w:t>
      </w:r>
      <w:r w:rsidR="00BE29A1" w:rsidRPr="006E3AE8">
        <w:rPr>
          <w:rFonts w:ascii="Arial" w:hAnsi="Arial" w:cs="Consolas"/>
          <w:sz w:val="22"/>
          <w:szCs w:val="22"/>
          <w:lang w:eastAsia="en-US"/>
        </w:rPr>
        <w:t xml:space="preserve"> both at tender and ongoing contract management stages</w:t>
      </w:r>
    </w:p>
    <w:p w14:paraId="23C683EF" w14:textId="77777777" w:rsidR="006E3AE8" w:rsidRDefault="006E3AE8" w:rsidP="006E3AE8">
      <w:pPr>
        <w:rPr>
          <w:rFonts w:ascii="Arial" w:hAnsi="Arial" w:cs="Consolas"/>
          <w:sz w:val="22"/>
          <w:szCs w:val="22"/>
          <w:lang w:eastAsia="en-US"/>
        </w:rPr>
      </w:pPr>
    </w:p>
    <w:p w14:paraId="5F9CD869" w14:textId="73D3EA0A" w:rsidR="00534313" w:rsidRDefault="00534313" w:rsidP="006E3AE8">
      <w:pPr>
        <w:rPr>
          <w:rFonts w:ascii="Arial" w:hAnsi="Arial" w:cs="Arial"/>
          <w:b/>
        </w:rPr>
      </w:pPr>
      <w:r w:rsidRPr="00BE29A1">
        <w:rPr>
          <w:rFonts w:ascii="Arial" w:hAnsi="Arial" w:cs="Arial"/>
          <w:b/>
        </w:rPr>
        <w:t>Brexit</w:t>
      </w:r>
    </w:p>
    <w:p w14:paraId="38851939" w14:textId="77777777" w:rsidR="006E3AE8" w:rsidRPr="00BE29A1" w:rsidRDefault="006E3AE8" w:rsidP="006E3AE8">
      <w:pPr>
        <w:rPr>
          <w:rFonts w:ascii="Arial" w:hAnsi="Arial" w:cs="Arial"/>
          <w:b/>
        </w:rPr>
      </w:pPr>
    </w:p>
    <w:p w14:paraId="1F271D45" w14:textId="2E8CDD60" w:rsidR="00534313" w:rsidRPr="006E3AE8" w:rsidRDefault="00534313" w:rsidP="006E3AE8">
      <w:pPr>
        <w:pStyle w:val="ListParagraph"/>
        <w:numPr>
          <w:ilvl w:val="0"/>
          <w:numId w:val="34"/>
        </w:numPr>
        <w:rPr>
          <w:rFonts w:ascii="Arial" w:hAnsi="Arial" w:cs="Arial"/>
          <w:sz w:val="22"/>
          <w:szCs w:val="22"/>
        </w:rPr>
      </w:pPr>
      <w:r w:rsidRPr="006E3AE8">
        <w:rPr>
          <w:rFonts w:ascii="Arial" w:hAnsi="Arial" w:cs="Arial"/>
          <w:sz w:val="22"/>
          <w:szCs w:val="22"/>
        </w:rPr>
        <w:t>Following a request from</w:t>
      </w:r>
      <w:r w:rsidR="004F0FB9" w:rsidRPr="006E3AE8">
        <w:rPr>
          <w:rFonts w:ascii="Arial" w:hAnsi="Arial" w:cs="Arial"/>
          <w:sz w:val="22"/>
          <w:szCs w:val="22"/>
        </w:rPr>
        <w:t xml:space="preserve"> the</w:t>
      </w:r>
      <w:r w:rsidRPr="006E3AE8">
        <w:rPr>
          <w:rFonts w:ascii="Arial" w:hAnsi="Arial" w:cs="Arial"/>
          <w:sz w:val="22"/>
          <w:szCs w:val="22"/>
        </w:rPr>
        <w:t xml:space="preserve"> I</w:t>
      </w:r>
      <w:r w:rsidR="0046210F" w:rsidRPr="006E3AE8">
        <w:rPr>
          <w:rFonts w:ascii="Arial" w:hAnsi="Arial" w:cs="Arial"/>
          <w:sz w:val="22"/>
          <w:szCs w:val="22"/>
        </w:rPr>
        <w:t xml:space="preserve">mprovement and Innovation </w:t>
      </w:r>
      <w:r w:rsidRPr="006E3AE8">
        <w:rPr>
          <w:rFonts w:ascii="Arial" w:hAnsi="Arial" w:cs="Arial"/>
          <w:sz w:val="22"/>
          <w:szCs w:val="22"/>
        </w:rPr>
        <w:t xml:space="preserve">Board for an update </w:t>
      </w:r>
      <w:r w:rsidR="0046210F" w:rsidRPr="006E3AE8">
        <w:rPr>
          <w:rFonts w:ascii="Arial" w:hAnsi="Arial" w:cs="Arial"/>
          <w:sz w:val="22"/>
          <w:szCs w:val="22"/>
        </w:rPr>
        <w:t xml:space="preserve">on the </w:t>
      </w:r>
      <w:r w:rsidRPr="006E3AE8">
        <w:rPr>
          <w:rFonts w:ascii="Arial" w:hAnsi="Arial" w:cs="Arial"/>
          <w:sz w:val="22"/>
          <w:szCs w:val="22"/>
        </w:rPr>
        <w:t xml:space="preserve">potential changes </w:t>
      </w:r>
      <w:r w:rsidR="0046210F" w:rsidRPr="006E3AE8">
        <w:rPr>
          <w:rFonts w:ascii="Arial" w:hAnsi="Arial" w:cs="Arial"/>
          <w:sz w:val="22"/>
          <w:szCs w:val="22"/>
        </w:rPr>
        <w:t>for councils i</w:t>
      </w:r>
      <w:r w:rsidRPr="006E3AE8">
        <w:rPr>
          <w:rFonts w:ascii="Arial" w:hAnsi="Arial" w:cs="Arial"/>
          <w:sz w:val="22"/>
          <w:szCs w:val="22"/>
        </w:rPr>
        <w:t xml:space="preserve">n managing procurement processes we can advise </w:t>
      </w:r>
      <w:r w:rsidR="0046210F" w:rsidRPr="006E3AE8">
        <w:rPr>
          <w:rFonts w:ascii="Arial" w:hAnsi="Arial" w:cs="Arial"/>
          <w:sz w:val="22"/>
          <w:szCs w:val="22"/>
        </w:rPr>
        <w:t>as follows:</w:t>
      </w:r>
      <w:r w:rsidR="0014701F" w:rsidRPr="006E3AE8">
        <w:rPr>
          <w:rFonts w:ascii="Arial" w:hAnsi="Arial" w:cs="Arial"/>
          <w:sz w:val="22"/>
          <w:szCs w:val="22"/>
        </w:rPr>
        <w:t xml:space="preserve"> </w:t>
      </w:r>
      <w:r w:rsidRPr="006E3AE8">
        <w:rPr>
          <w:rFonts w:ascii="Arial" w:hAnsi="Arial" w:cs="Arial"/>
          <w:sz w:val="22"/>
          <w:szCs w:val="22"/>
        </w:rPr>
        <w:t>(although this is still subject to change following continued Parliamentary activity on Brexit).</w:t>
      </w:r>
    </w:p>
    <w:p w14:paraId="4ABF78DF" w14:textId="77777777" w:rsidR="006E3AE8" w:rsidRPr="006E3AE8" w:rsidRDefault="006E3AE8" w:rsidP="006E3AE8">
      <w:pPr>
        <w:pStyle w:val="ListParagraph"/>
        <w:ind w:left="360"/>
        <w:rPr>
          <w:rFonts w:ascii="Arial" w:hAnsi="Arial" w:cs="Arial"/>
          <w:sz w:val="22"/>
          <w:szCs w:val="22"/>
        </w:rPr>
      </w:pPr>
    </w:p>
    <w:p w14:paraId="4C1DB2EF" w14:textId="326ED392" w:rsidR="006E3AE8" w:rsidRPr="006E3AE8" w:rsidRDefault="00534313" w:rsidP="006E3AE8">
      <w:pPr>
        <w:pStyle w:val="ListParagraph"/>
        <w:numPr>
          <w:ilvl w:val="0"/>
          <w:numId w:val="34"/>
        </w:numPr>
        <w:rPr>
          <w:rFonts w:ascii="Arial" w:hAnsi="Arial" w:cs="Arial"/>
          <w:sz w:val="22"/>
          <w:szCs w:val="22"/>
          <w:lang w:val="en"/>
        </w:rPr>
      </w:pPr>
      <w:r w:rsidRPr="006E3AE8">
        <w:rPr>
          <w:rFonts w:ascii="Arial" w:hAnsi="Arial" w:cs="Arial"/>
          <w:sz w:val="22"/>
          <w:szCs w:val="22"/>
          <w:lang w:val="en"/>
        </w:rPr>
        <w:t>It is important to understand that the Public Contracts Regulations 2015, commonly referred to as EU Rules</w:t>
      </w:r>
      <w:r w:rsidR="00BE29A1" w:rsidRPr="006E3AE8">
        <w:rPr>
          <w:rFonts w:ascii="Arial" w:hAnsi="Arial" w:cs="Arial"/>
          <w:sz w:val="22"/>
          <w:szCs w:val="22"/>
          <w:lang w:val="en"/>
        </w:rPr>
        <w:t>,</w:t>
      </w:r>
      <w:r w:rsidRPr="006E3AE8">
        <w:rPr>
          <w:rFonts w:ascii="Arial" w:hAnsi="Arial" w:cs="Arial"/>
          <w:sz w:val="22"/>
          <w:szCs w:val="22"/>
          <w:lang w:val="en"/>
        </w:rPr>
        <w:t xml:space="preserve"> are in fact UK enacted legislation. They are derived from EU Directives but are not EU law.</w:t>
      </w:r>
      <w:r w:rsidR="00DC58A6" w:rsidRPr="006E3AE8">
        <w:rPr>
          <w:rFonts w:ascii="Arial" w:hAnsi="Arial" w:cs="Arial"/>
          <w:sz w:val="22"/>
          <w:szCs w:val="22"/>
          <w:lang w:val="en"/>
        </w:rPr>
        <w:t xml:space="preserve">  The EU Directives themselves reflect the Government Procurement Agreement (GPA) of which the UK is </w:t>
      </w:r>
      <w:r w:rsidR="00BE29A1" w:rsidRPr="006E3AE8">
        <w:rPr>
          <w:rFonts w:ascii="Arial" w:hAnsi="Arial" w:cs="Arial"/>
          <w:sz w:val="22"/>
          <w:szCs w:val="22"/>
          <w:lang w:val="en"/>
        </w:rPr>
        <w:t xml:space="preserve">now </w:t>
      </w:r>
      <w:r w:rsidR="00DC58A6" w:rsidRPr="006E3AE8">
        <w:rPr>
          <w:rFonts w:ascii="Arial" w:hAnsi="Arial" w:cs="Arial"/>
          <w:sz w:val="22"/>
          <w:szCs w:val="22"/>
          <w:lang w:val="en"/>
        </w:rPr>
        <w:t>a signatory in its own right.</w:t>
      </w:r>
    </w:p>
    <w:p w14:paraId="17ED7B4E" w14:textId="77777777" w:rsidR="006E3AE8" w:rsidRPr="006E3AE8" w:rsidRDefault="006E3AE8" w:rsidP="006E3AE8">
      <w:pPr>
        <w:pStyle w:val="ListParagraph"/>
        <w:rPr>
          <w:rFonts w:ascii="Arial" w:hAnsi="Arial" w:cs="Arial"/>
          <w:b/>
          <w:sz w:val="22"/>
          <w:szCs w:val="22"/>
          <w:lang w:val="en"/>
        </w:rPr>
      </w:pPr>
    </w:p>
    <w:p w14:paraId="22073102" w14:textId="77777777" w:rsidR="006E3AE8" w:rsidRDefault="004F0FB9" w:rsidP="006E3AE8">
      <w:pPr>
        <w:pStyle w:val="ListParagraph"/>
        <w:numPr>
          <w:ilvl w:val="0"/>
          <w:numId w:val="34"/>
        </w:numPr>
        <w:rPr>
          <w:rFonts w:ascii="Arial" w:hAnsi="Arial" w:cs="Arial"/>
          <w:sz w:val="22"/>
          <w:szCs w:val="22"/>
          <w:lang w:val="en"/>
        </w:rPr>
      </w:pPr>
      <w:r w:rsidRPr="006E3AE8">
        <w:rPr>
          <w:rFonts w:ascii="Arial" w:hAnsi="Arial" w:cs="Arial"/>
          <w:b/>
          <w:sz w:val="22"/>
          <w:szCs w:val="22"/>
          <w:lang w:val="en"/>
        </w:rPr>
        <w:t xml:space="preserve"> </w:t>
      </w:r>
      <w:r w:rsidR="00534313" w:rsidRPr="006E3AE8">
        <w:rPr>
          <w:rFonts w:ascii="Arial" w:hAnsi="Arial" w:cs="Arial"/>
          <w:b/>
          <w:sz w:val="22"/>
          <w:szCs w:val="22"/>
          <w:lang w:val="en"/>
        </w:rPr>
        <w:t>If there is a ‘</w:t>
      </w:r>
      <w:r w:rsidR="00D8094B" w:rsidRPr="006E3AE8">
        <w:rPr>
          <w:rFonts w:ascii="Arial" w:hAnsi="Arial" w:cs="Arial"/>
          <w:b/>
          <w:sz w:val="22"/>
          <w:szCs w:val="22"/>
          <w:lang w:val="en"/>
        </w:rPr>
        <w:t>d</w:t>
      </w:r>
      <w:r w:rsidR="00534313" w:rsidRPr="006E3AE8">
        <w:rPr>
          <w:rFonts w:ascii="Arial" w:hAnsi="Arial" w:cs="Arial"/>
          <w:b/>
          <w:sz w:val="22"/>
          <w:szCs w:val="22"/>
          <w:lang w:val="en"/>
        </w:rPr>
        <w:t>eal’</w:t>
      </w:r>
      <w:r w:rsidR="00534313" w:rsidRPr="006E3AE8">
        <w:rPr>
          <w:rFonts w:ascii="Arial" w:hAnsi="Arial" w:cs="Arial"/>
          <w:sz w:val="22"/>
          <w:szCs w:val="22"/>
          <w:lang w:val="en"/>
        </w:rPr>
        <w:t xml:space="preserve"> the Procurement Regulations will remain in place during the ‘implementation period’ (also known as the transition period). This is set to last from Exit Day (</w:t>
      </w:r>
      <w:r w:rsidR="00BE29A1" w:rsidRPr="006E3AE8">
        <w:rPr>
          <w:rFonts w:ascii="Arial" w:hAnsi="Arial" w:cs="Arial"/>
          <w:sz w:val="22"/>
          <w:szCs w:val="22"/>
          <w:lang w:val="en"/>
        </w:rPr>
        <w:t xml:space="preserve">currently </w:t>
      </w:r>
      <w:r w:rsidR="00534313" w:rsidRPr="006E3AE8">
        <w:rPr>
          <w:rFonts w:ascii="Arial" w:hAnsi="Arial" w:cs="Arial"/>
          <w:sz w:val="22"/>
          <w:szCs w:val="22"/>
          <w:lang w:val="en"/>
        </w:rPr>
        <w:t xml:space="preserve">11pm on 29 March 2019) until 31 December 2020.  In practice this means that </w:t>
      </w:r>
      <w:r w:rsidR="00D8094B" w:rsidRPr="006E3AE8">
        <w:rPr>
          <w:rFonts w:ascii="Arial" w:hAnsi="Arial" w:cs="Arial"/>
          <w:sz w:val="22"/>
          <w:szCs w:val="22"/>
          <w:lang w:val="en"/>
        </w:rPr>
        <w:t xml:space="preserve">it will be business as usual for the </w:t>
      </w:r>
      <w:r w:rsidR="002B748F" w:rsidRPr="006E3AE8">
        <w:rPr>
          <w:rFonts w:ascii="Arial" w:hAnsi="Arial" w:cs="Arial"/>
          <w:sz w:val="22"/>
          <w:szCs w:val="22"/>
          <w:lang w:val="en"/>
        </w:rPr>
        <w:t>implementation period at least.</w:t>
      </w:r>
      <w:r w:rsidR="00D8094B" w:rsidRPr="006E3AE8">
        <w:rPr>
          <w:rFonts w:ascii="Arial" w:hAnsi="Arial" w:cs="Arial"/>
          <w:sz w:val="22"/>
          <w:szCs w:val="22"/>
          <w:lang w:val="en"/>
        </w:rPr>
        <w:t xml:space="preserve"> </w:t>
      </w:r>
    </w:p>
    <w:p w14:paraId="726C57E3" w14:textId="77777777" w:rsidR="006E3AE8" w:rsidRPr="006E3AE8" w:rsidRDefault="006E3AE8" w:rsidP="006E3AE8">
      <w:pPr>
        <w:pStyle w:val="ListParagraph"/>
        <w:rPr>
          <w:rFonts w:ascii="Arial" w:hAnsi="Arial" w:cs="Arial"/>
          <w:b/>
          <w:sz w:val="22"/>
          <w:szCs w:val="22"/>
          <w:lang w:val="en"/>
        </w:rPr>
      </w:pPr>
    </w:p>
    <w:p w14:paraId="4F3F5EB2" w14:textId="77777777" w:rsidR="006E3AE8" w:rsidRDefault="00D8094B" w:rsidP="006E3AE8">
      <w:pPr>
        <w:pStyle w:val="ListParagraph"/>
        <w:numPr>
          <w:ilvl w:val="0"/>
          <w:numId w:val="34"/>
        </w:numPr>
        <w:rPr>
          <w:rFonts w:ascii="Arial" w:hAnsi="Arial" w:cs="Arial"/>
          <w:sz w:val="22"/>
          <w:szCs w:val="22"/>
          <w:lang w:val="en"/>
        </w:rPr>
      </w:pPr>
      <w:r w:rsidRPr="006E3AE8">
        <w:rPr>
          <w:rFonts w:ascii="Arial" w:hAnsi="Arial" w:cs="Arial"/>
          <w:b/>
          <w:sz w:val="22"/>
          <w:szCs w:val="22"/>
          <w:lang w:val="en"/>
        </w:rPr>
        <w:t xml:space="preserve">If there is ‘no deal’ </w:t>
      </w:r>
      <w:r w:rsidRPr="006E3AE8">
        <w:rPr>
          <w:rFonts w:ascii="Arial" w:hAnsi="Arial" w:cs="Arial"/>
          <w:sz w:val="22"/>
          <w:szCs w:val="22"/>
          <w:lang w:val="en"/>
        </w:rPr>
        <w:t>As the Procurement Regulations are UK law, if we leave the EU without a deal they will continue in force in the same way as other UK legislation.  Some minor technical changes outlined below are being put in place now to deal with this scenario:</w:t>
      </w:r>
    </w:p>
    <w:p w14:paraId="7BBA092F" w14:textId="77777777" w:rsidR="006E3AE8" w:rsidRPr="006E3AE8" w:rsidRDefault="006E3AE8" w:rsidP="006E3AE8">
      <w:pPr>
        <w:pStyle w:val="ListParagraph"/>
        <w:rPr>
          <w:rFonts w:ascii="Arial" w:hAnsi="Arial" w:cs="Arial"/>
          <w:sz w:val="22"/>
          <w:szCs w:val="22"/>
          <w:lang w:val="en"/>
        </w:rPr>
      </w:pPr>
    </w:p>
    <w:p w14:paraId="07627EEA" w14:textId="4D20BB30" w:rsidR="006E3AE8" w:rsidRPr="006E3AE8" w:rsidRDefault="00DC58A6" w:rsidP="006E3AE8">
      <w:pPr>
        <w:pStyle w:val="ListParagraph"/>
        <w:numPr>
          <w:ilvl w:val="1"/>
          <w:numId w:val="34"/>
        </w:numPr>
        <w:rPr>
          <w:rFonts w:ascii="Arial" w:hAnsi="Arial" w:cs="Arial"/>
          <w:sz w:val="22"/>
          <w:szCs w:val="22"/>
          <w:lang w:val="en"/>
        </w:rPr>
      </w:pPr>
      <w:r w:rsidRPr="006E3AE8">
        <w:rPr>
          <w:rFonts w:ascii="Arial" w:hAnsi="Arial" w:cs="Arial"/>
          <w:sz w:val="22"/>
          <w:szCs w:val="22"/>
          <w:lang w:val="en"/>
        </w:rPr>
        <w:t xml:space="preserve">There will be some </w:t>
      </w:r>
      <w:r w:rsidR="00D8094B" w:rsidRPr="006E3AE8">
        <w:rPr>
          <w:rFonts w:ascii="Arial" w:hAnsi="Arial" w:cs="Arial"/>
          <w:sz w:val="22"/>
          <w:szCs w:val="22"/>
          <w:lang w:val="en"/>
        </w:rPr>
        <w:t xml:space="preserve">changes to the </w:t>
      </w:r>
      <w:r w:rsidRPr="006E3AE8">
        <w:rPr>
          <w:rFonts w:ascii="Arial" w:hAnsi="Arial" w:cs="Arial"/>
          <w:sz w:val="22"/>
          <w:szCs w:val="22"/>
          <w:lang w:val="en"/>
        </w:rPr>
        <w:t>‘</w:t>
      </w:r>
      <w:r w:rsidR="00D8094B" w:rsidRPr="006E3AE8">
        <w:rPr>
          <w:rFonts w:ascii="Arial" w:hAnsi="Arial" w:cs="Arial"/>
          <w:sz w:val="22"/>
          <w:szCs w:val="22"/>
          <w:lang w:val="en"/>
        </w:rPr>
        <w:t>grounds for exclusion</w:t>
      </w:r>
      <w:r w:rsidRPr="006E3AE8">
        <w:rPr>
          <w:rFonts w:ascii="Arial" w:hAnsi="Arial" w:cs="Arial"/>
          <w:sz w:val="22"/>
          <w:szCs w:val="22"/>
          <w:lang w:val="en"/>
        </w:rPr>
        <w:t>’</w:t>
      </w:r>
      <w:r w:rsidR="00D8094B" w:rsidRPr="006E3AE8">
        <w:rPr>
          <w:rFonts w:ascii="Arial" w:hAnsi="Arial" w:cs="Arial"/>
          <w:sz w:val="22"/>
          <w:szCs w:val="22"/>
          <w:lang w:val="en"/>
        </w:rPr>
        <w:t xml:space="preserve"> of bidders - a new standard selection questionnaire (SQ) will become available to cover these.</w:t>
      </w:r>
    </w:p>
    <w:p w14:paraId="17514FB5" w14:textId="77777777" w:rsidR="006E3AE8" w:rsidRPr="006E3AE8" w:rsidRDefault="006E3AE8" w:rsidP="006E3AE8">
      <w:pPr>
        <w:pStyle w:val="ListParagraph"/>
        <w:rPr>
          <w:rFonts w:ascii="Arial" w:hAnsi="Arial" w:cs="Arial"/>
          <w:sz w:val="22"/>
          <w:szCs w:val="22"/>
          <w:lang w:val="en"/>
        </w:rPr>
      </w:pPr>
    </w:p>
    <w:p w14:paraId="76D4DDFC" w14:textId="77777777" w:rsidR="006E3AE8" w:rsidRDefault="00BE29A1" w:rsidP="006E3AE8">
      <w:pPr>
        <w:pStyle w:val="ListParagraph"/>
        <w:numPr>
          <w:ilvl w:val="1"/>
          <w:numId w:val="34"/>
        </w:numPr>
        <w:rPr>
          <w:rFonts w:ascii="Arial" w:hAnsi="Arial" w:cs="Arial"/>
          <w:sz w:val="22"/>
          <w:szCs w:val="22"/>
          <w:lang w:val="en"/>
        </w:rPr>
      </w:pPr>
      <w:r w:rsidRPr="006E3AE8">
        <w:rPr>
          <w:rFonts w:ascii="Arial" w:hAnsi="Arial" w:cs="Arial"/>
          <w:sz w:val="22"/>
          <w:szCs w:val="22"/>
          <w:lang w:val="en"/>
        </w:rPr>
        <w:t>Councils</w:t>
      </w:r>
      <w:r w:rsidR="00D8094B" w:rsidRPr="006E3AE8">
        <w:rPr>
          <w:rFonts w:ascii="Arial" w:hAnsi="Arial" w:cs="Arial"/>
          <w:sz w:val="22"/>
          <w:szCs w:val="22"/>
          <w:lang w:val="en"/>
        </w:rPr>
        <w:t xml:space="preserve"> will no longer need to publish tenders or contracts OJEU. Procurement notices will need to be published on a UK e-notification service instead.  We are working with Cabinet Office on th</w:t>
      </w:r>
      <w:r w:rsidRPr="006E3AE8">
        <w:rPr>
          <w:rFonts w:ascii="Arial" w:hAnsi="Arial" w:cs="Arial"/>
          <w:sz w:val="22"/>
          <w:szCs w:val="22"/>
          <w:lang w:val="en"/>
        </w:rPr>
        <w:t>e new UK e-notification service and are disseminating advice as this becomes available.</w:t>
      </w:r>
    </w:p>
    <w:p w14:paraId="5B2D86A3" w14:textId="77777777" w:rsidR="006E3AE8" w:rsidRPr="006E3AE8" w:rsidRDefault="006E3AE8" w:rsidP="006E3AE8">
      <w:pPr>
        <w:pStyle w:val="ListParagraph"/>
        <w:rPr>
          <w:rFonts w:ascii="Arial" w:hAnsi="Arial" w:cs="Arial"/>
          <w:sz w:val="22"/>
          <w:szCs w:val="22"/>
          <w:lang w:val="en"/>
        </w:rPr>
      </w:pPr>
    </w:p>
    <w:p w14:paraId="3F1F62CD" w14:textId="77777777" w:rsidR="006E3AE8" w:rsidRDefault="00D8094B" w:rsidP="006E3AE8">
      <w:pPr>
        <w:pStyle w:val="ListParagraph"/>
        <w:numPr>
          <w:ilvl w:val="1"/>
          <w:numId w:val="34"/>
        </w:numPr>
        <w:rPr>
          <w:rFonts w:ascii="Arial" w:hAnsi="Arial" w:cs="Arial"/>
          <w:sz w:val="22"/>
          <w:szCs w:val="22"/>
          <w:lang w:val="en"/>
        </w:rPr>
      </w:pPr>
      <w:r w:rsidRPr="006E3AE8">
        <w:rPr>
          <w:rFonts w:ascii="Arial" w:hAnsi="Arial" w:cs="Arial"/>
          <w:sz w:val="22"/>
          <w:szCs w:val="22"/>
          <w:lang w:val="en"/>
        </w:rPr>
        <w:t xml:space="preserve">The requirement to advertise </w:t>
      </w:r>
      <w:r w:rsidR="00DC58A6" w:rsidRPr="006E3AE8">
        <w:rPr>
          <w:rFonts w:ascii="Arial" w:hAnsi="Arial" w:cs="Arial"/>
          <w:sz w:val="22"/>
          <w:szCs w:val="22"/>
          <w:lang w:val="en"/>
        </w:rPr>
        <w:t xml:space="preserve">tenders over £25,000 </w:t>
      </w:r>
      <w:r w:rsidRPr="006E3AE8">
        <w:rPr>
          <w:rFonts w:ascii="Arial" w:hAnsi="Arial" w:cs="Arial"/>
          <w:sz w:val="22"/>
          <w:szCs w:val="22"/>
          <w:lang w:val="en"/>
        </w:rPr>
        <w:t>on Contracts Finder will remain in place.</w:t>
      </w:r>
    </w:p>
    <w:p w14:paraId="49CAB3EB" w14:textId="77777777" w:rsidR="006E3AE8" w:rsidRPr="006E3AE8" w:rsidRDefault="006E3AE8" w:rsidP="006E3AE8">
      <w:pPr>
        <w:pStyle w:val="ListParagraph"/>
        <w:rPr>
          <w:rFonts w:ascii="Arial" w:hAnsi="Arial" w:cs="Arial"/>
          <w:sz w:val="22"/>
          <w:szCs w:val="22"/>
          <w:lang w:val="en"/>
        </w:rPr>
      </w:pPr>
    </w:p>
    <w:p w14:paraId="00FB799B" w14:textId="77777777" w:rsidR="006E3AE8" w:rsidRDefault="00D8094B" w:rsidP="006E3AE8">
      <w:pPr>
        <w:pStyle w:val="ListParagraph"/>
        <w:numPr>
          <w:ilvl w:val="1"/>
          <w:numId w:val="34"/>
        </w:numPr>
        <w:rPr>
          <w:rFonts w:ascii="Arial" w:hAnsi="Arial" w:cs="Arial"/>
          <w:sz w:val="22"/>
          <w:szCs w:val="22"/>
          <w:lang w:val="en"/>
        </w:rPr>
      </w:pPr>
      <w:r w:rsidRPr="006E3AE8">
        <w:rPr>
          <w:rFonts w:ascii="Arial" w:hAnsi="Arial" w:cs="Arial"/>
          <w:sz w:val="22"/>
          <w:szCs w:val="22"/>
          <w:lang w:val="en"/>
        </w:rPr>
        <w:t>There will be no requirement for UK authorities to accept the European Single Procurement Document (ESPD) or have recourse to e-</w:t>
      </w:r>
      <w:proofErr w:type="spellStart"/>
      <w:r w:rsidRPr="006E3AE8">
        <w:rPr>
          <w:rFonts w:ascii="Arial" w:hAnsi="Arial" w:cs="Arial"/>
          <w:sz w:val="22"/>
          <w:szCs w:val="22"/>
          <w:lang w:val="en"/>
        </w:rPr>
        <w:t>Certis</w:t>
      </w:r>
      <w:proofErr w:type="spellEnd"/>
      <w:r w:rsidRPr="006E3AE8">
        <w:rPr>
          <w:rFonts w:ascii="Arial" w:hAnsi="Arial" w:cs="Arial"/>
          <w:sz w:val="22"/>
          <w:szCs w:val="22"/>
          <w:lang w:val="en"/>
        </w:rPr>
        <w:t>.</w:t>
      </w:r>
    </w:p>
    <w:p w14:paraId="7E054F08" w14:textId="77777777" w:rsidR="006E3AE8" w:rsidRPr="006E3AE8" w:rsidRDefault="006E3AE8" w:rsidP="006E3AE8">
      <w:pPr>
        <w:pStyle w:val="ListParagraph"/>
        <w:rPr>
          <w:rFonts w:ascii="Arial" w:hAnsi="Arial" w:cs="Arial"/>
          <w:sz w:val="22"/>
          <w:szCs w:val="22"/>
          <w:lang w:val="en"/>
        </w:rPr>
      </w:pPr>
    </w:p>
    <w:p w14:paraId="42523D9B" w14:textId="77777777" w:rsidR="006E3AE8" w:rsidRDefault="00D8094B" w:rsidP="006E3AE8">
      <w:pPr>
        <w:pStyle w:val="ListParagraph"/>
        <w:numPr>
          <w:ilvl w:val="1"/>
          <w:numId w:val="34"/>
        </w:numPr>
        <w:rPr>
          <w:rFonts w:ascii="Arial" w:hAnsi="Arial" w:cs="Arial"/>
          <w:sz w:val="22"/>
          <w:szCs w:val="22"/>
          <w:lang w:val="en"/>
        </w:rPr>
      </w:pPr>
      <w:r w:rsidRPr="006E3AE8">
        <w:rPr>
          <w:rFonts w:ascii="Arial" w:hAnsi="Arial" w:cs="Arial"/>
          <w:sz w:val="22"/>
          <w:szCs w:val="22"/>
          <w:lang w:val="en"/>
        </w:rPr>
        <w:t xml:space="preserve">The duty owed by </w:t>
      </w:r>
      <w:r w:rsidR="00DC58A6" w:rsidRPr="006E3AE8">
        <w:rPr>
          <w:rFonts w:ascii="Arial" w:hAnsi="Arial" w:cs="Arial"/>
          <w:sz w:val="22"/>
          <w:szCs w:val="22"/>
          <w:lang w:val="en"/>
        </w:rPr>
        <w:t xml:space="preserve">UK Authorities including </w:t>
      </w:r>
      <w:r w:rsidRPr="006E3AE8">
        <w:rPr>
          <w:rFonts w:ascii="Arial" w:hAnsi="Arial" w:cs="Arial"/>
          <w:sz w:val="22"/>
          <w:szCs w:val="22"/>
          <w:lang w:val="en"/>
        </w:rPr>
        <w:t xml:space="preserve">councils under the Procurement Regulations will </w:t>
      </w:r>
      <w:r w:rsidR="00DC58A6" w:rsidRPr="006E3AE8">
        <w:rPr>
          <w:rFonts w:ascii="Arial" w:hAnsi="Arial" w:cs="Arial"/>
          <w:sz w:val="22"/>
          <w:szCs w:val="22"/>
          <w:lang w:val="en"/>
        </w:rPr>
        <w:t xml:space="preserve">continue to </w:t>
      </w:r>
      <w:r w:rsidRPr="006E3AE8">
        <w:rPr>
          <w:rFonts w:ascii="Arial" w:hAnsi="Arial" w:cs="Arial"/>
          <w:sz w:val="22"/>
          <w:szCs w:val="22"/>
          <w:lang w:val="en"/>
        </w:rPr>
        <w:t>apply to suppliers from the UK and Gibraltar. However, the duty of UK authorities under the Procurement Regulations will also apply to suppliers from countries that are signatory to the GPA (including EU member states), so long as the procurement concerned is covered by the terms of the GPA (</w:t>
      </w:r>
      <w:r w:rsidR="00DC58A6" w:rsidRPr="006E3AE8">
        <w:rPr>
          <w:rFonts w:ascii="Arial" w:hAnsi="Arial" w:cs="Arial"/>
          <w:sz w:val="22"/>
          <w:szCs w:val="22"/>
          <w:lang w:val="en"/>
        </w:rPr>
        <w:t>some</w:t>
      </w:r>
      <w:r w:rsidRPr="006E3AE8">
        <w:rPr>
          <w:rFonts w:ascii="Arial" w:hAnsi="Arial" w:cs="Arial"/>
          <w:sz w:val="22"/>
          <w:szCs w:val="22"/>
          <w:lang w:val="en"/>
        </w:rPr>
        <w:t xml:space="preserve"> services such as health and legal services are excluded).</w:t>
      </w:r>
    </w:p>
    <w:p w14:paraId="20DD142A" w14:textId="77777777" w:rsidR="006E3AE8" w:rsidRPr="006E3AE8" w:rsidRDefault="006E3AE8" w:rsidP="006E3AE8">
      <w:pPr>
        <w:pStyle w:val="ListParagraph"/>
        <w:rPr>
          <w:rFonts w:ascii="Arial" w:hAnsi="Arial" w:cs="Arial"/>
          <w:sz w:val="22"/>
          <w:szCs w:val="22"/>
          <w:lang w:val="en"/>
        </w:rPr>
      </w:pPr>
    </w:p>
    <w:p w14:paraId="338042BA" w14:textId="68124B3B" w:rsidR="00D8094B" w:rsidRPr="006E3AE8" w:rsidRDefault="00D8094B" w:rsidP="006E3AE8">
      <w:pPr>
        <w:pStyle w:val="ListParagraph"/>
        <w:numPr>
          <w:ilvl w:val="1"/>
          <w:numId w:val="34"/>
        </w:numPr>
        <w:rPr>
          <w:rFonts w:ascii="Arial" w:hAnsi="Arial" w:cs="Arial"/>
          <w:sz w:val="22"/>
          <w:szCs w:val="22"/>
          <w:lang w:val="en"/>
        </w:rPr>
      </w:pPr>
      <w:r w:rsidRPr="006E3AE8">
        <w:rPr>
          <w:rFonts w:ascii="Arial" w:hAnsi="Arial" w:cs="Arial"/>
          <w:sz w:val="22"/>
          <w:szCs w:val="22"/>
          <w:lang w:val="en"/>
        </w:rPr>
        <w:t>UK suppliers who want to access contract opportunities from the EU can continue to do so via OJEU. However, they will only benefit from the rights and remedies afforded to the UK under the GPA.</w:t>
      </w:r>
    </w:p>
    <w:p w14:paraId="5A8C9C8E" w14:textId="77777777" w:rsidR="00D8094B" w:rsidRPr="00BE29A1" w:rsidRDefault="00D8094B" w:rsidP="00D8094B">
      <w:pPr>
        <w:shd w:val="clear" w:color="auto" w:fill="FFFFFF"/>
        <w:ind w:left="360"/>
        <w:rPr>
          <w:rFonts w:ascii="Arial" w:hAnsi="Arial" w:cs="Arial"/>
          <w:sz w:val="22"/>
          <w:szCs w:val="22"/>
          <w:lang w:val="en"/>
        </w:rPr>
      </w:pPr>
    </w:p>
    <w:p w14:paraId="1EFF399C" w14:textId="176181C4" w:rsidR="0014701F" w:rsidRDefault="004F0FB9" w:rsidP="006E3AE8">
      <w:pPr>
        <w:shd w:val="clear" w:color="auto" w:fill="FFFFFF"/>
        <w:ind w:left="369" w:hanging="369"/>
        <w:rPr>
          <w:rFonts w:ascii="Arial" w:hAnsi="Arial" w:cs="Arial"/>
          <w:sz w:val="22"/>
          <w:szCs w:val="22"/>
          <w:lang w:val="en"/>
        </w:rPr>
      </w:pPr>
      <w:r>
        <w:rPr>
          <w:rFonts w:ascii="Arial" w:hAnsi="Arial" w:cs="Arial"/>
          <w:sz w:val="22"/>
          <w:szCs w:val="22"/>
          <w:lang w:val="en"/>
        </w:rPr>
        <w:t xml:space="preserve">11. </w:t>
      </w:r>
      <w:r w:rsidR="00D8094B" w:rsidRPr="00BE29A1">
        <w:rPr>
          <w:rFonts w:ascii="Arial" w:hAnsi="Arial" w:cs="Arial"/>
          <w:sz w:val="22"/>
          <w:szCs w:val="22"/>
          <w:lang w:val="en"/>
        </w:rPr>
        <w:t xml:space="preserve">In the event of a no deal, the Procurement Regulations are due to be amended </w:t>
      </w:r>
      <w:r w:rsidR="00DC58A6" w:rsidRPr="00BE29A1">
        <w:rPr>
          <w:rFonts w:ascii="Arial" w:hAnsi="Arial" w:cs="Arial"/>
          <w:sz w:val="22"/>
          <w:szCs w:val="22"/>
          <w:lang w:val="en"/>
        </w:rPr>
        <w:t>by the Exit Regulations</w:t>
      </w:r>
      <w:r w:rsidR="00D8094B" w:rsidRPr="00BE29A1">
        <w:rPr>
          <w:rFonts w:ascii="Arial" w:hAnsi="Arial" w:cs="Arial"/>
          <w:sz w:val="22"/>
          <w:szCs w:val="22"/>
          <w:lang w:val="en"/>
        </w:rPr>
        <w:t xml:space="preserve">. The Exit Regulations </w:t>
      </w:r>
      <w:r w:rsidR="00DC58A6" w:rsidRPr="00BE29A1">
        <w:rPr>
          <w:rFonts w:ascii="Arial" w:hAnsi="Arial" w:cs="Arial"/>
          <w:sz w:val="22"/>
          <w:szCs w:val="22"/>
          <w:lang w:val="en"/>
        </w:rPr>
        <w:t>should come into force on Exit Day</w:t>
      </w:r>
      <w:r w:rsidR="00D8094B" w:rsidRPr="00BE29A1">
        <w:rPr>
          <w:rFonts w:ascii="Arial" w:hAnsi="Arial" w:cs="Arial"/>
          <w:sz w:val="22"/>
          <w:szCs w:val="22"/>
          <w:lang w:val="en"/>
        </w:rPr>
        <w:t>. The Exit Regulations will amend very little of the existing Procurement Regulations. The main changes relate to the removal of EU related terms and references</w:t>
      </w:r>
      <w:r w:rsidR="00DC58A6" w:rsidRPr="00BE29A1">
        <w:rPr>
          <w:rFonts w:ascii="Arial" w:hAnsi="Arial" w:cs="Arial"/>
          <w:sz w:val="22"/>
          <w:szCs w:val="22"/>
          <w:lang w:val="en"/>
        </w:rPr>
        <w:t>.</w:t>
      </w:r>
    </w:p>
    <w:p w14:paraId="27E1AAC8" w14:textId="77777777" w:rsidR="0014701F" w:rsidRPr="0014701F" w:rsidRDefault="0014701F" w:rsidP="006E3AE8">
      <w:pPr>
        <w:shd w:val="clear" w:color="auto" w:fill="FFFFFF"/>
        <w:rPr>
          <w:rFonts w:ascii="Arial" w:hAnsi="Arial" w:cs="Arial"/>
          <w:sz w:val="22"/>
          <w:szCs w:val="22"/>
          <w:lang w:val="en"/>
        </w:rPr>
      </w:pPr>
    </w:p>
    <w:p w14:paraId="46260C66" w14:textId="1A079FAA" w:rsidR="004F0FB9" w:rsidRDefault="004F0FB9" w:rsidP="006E3AE8">
      <w:pPr>
        <w:spacing w:line="280" w:lineRule="exact"/>
        <w:rPr>
          <w:rFonts w:ascii="Frutiger 45 Light" w:hAnsi="Frutiger 45 Light"/>
          <w:b/>
          <w:sz w:val="22"/>
          <w:szCs w:val="22"/>
        </w:rPr>
      </w:pPr>
      <w:r w:rsidRPr="004F0FB9">
        <w:rPr>
          <w:rFonts w:ascii="Frutiger 45 Light" w:hAnsi="Frutiger 45 Light"/>
          <w:b/>
          <w:sz w:val="22"/>
          <w:szCs w:val="22"/>
        </w:rPr>
        <w:t>Financial Implications</w:t>
      </w:r>
    </w:p>
    <w:p w14:paraId="07799843" w14:textId="77777777" w:rsidR="006E3AE8" w:rsidRPr="0014701F" w:rsidRDefault="006E3AE8" w:rsidP="006E3AE8">
      <w:pPr>
        <w:spacing w:line="280" w:lineRule="exact"/>
        <w:rPr>
          <w:rFonts w:ascii="Frutiger 45 Light" w:hAnsi="Frutiger 45 Light"/>
          <w:b/>
          <w:sz w:val="22"/>
          <w:szCs w:val="22"/>
        </w:rPr>
      </w:pPr>
      <w:bookmarkStart w:id="0" w:name="_GoBack"/>
      <w:bookmarkEnd w:id="0"/>
    </w:p>
    <w:p w14:paraId="3E90FB7D" w14:textId="67625CA5" w:rsidR="004F0FB9" w:rsidRDefault="004F0FB9" w:rsidP="006E3AE8">
      <w:pPr>
        <w:pStyle w:val="ListParagraph"/>
        <w:numPr>
          <w:ilvl w:val="0"/>
          <w:numId w:val="31"/>
        </w:numPr>
        <w:rPr>
          <w:rFonts w:ascii="Arial" w:hAnsi="Arial" w:cs="Arial"/>
          <w:sz w:val="22"/>
          <w:szCs w:val="22"/>
        </w:rPr>
      </w:pPr>
      <w:r w:rsidRPr="004F0FB9">
        <w:rPr>
          <w:rFonts w:ascii="Arial" w:hAnsi="Arial" w:cs="Arial"/>
          <w:sz w:val="22"/>
          <w:szCs w:val="22"/>
        </w:rPr>
        <w:t>The</w:t>
      </w:r>
      <w:r>
        <w:rPr>
          <w:rFonts w:ascii="Arial" w:hAnsi="Arial" w:cs="Arial"/>
          <w:sz w:val="22"/>
          <w:szCs w:val="22"/>
        </w:rPr>
        <w:t>re are no financial implications arising from this report</w:t>
      </w:r>
      <w:r w:rsidRPr="004F0FB9">
        <w:rPr>
          <w:rFonts w:ascii="Arial" w:hAnsi="Arial" w:cs="Arial"/>
          <w:sz w:val="22"/>
          <w:szCs w:val="22"/>
        </w:rPr>
        <w:t xml:space="preserve">.  </w:t>
      </w:r>
    </w:p>
    <w:p w14:paraId="222B04C2" w14:textId="77777777" w:rsidR="0014701F" w:rsidRPr="0014701F" w:rsidRDefault="0014701F" w:rsidP="006E3AE8">
      <w:pPr>
        <w:rPr>
          <w:rFonts w:ascii="Arial" w:hAnsi="Arial" w:cs="Arial"/>
          <w:sz w:val="22"/>
          <w:szCs w:val="22"/>
        </w:rPr>
      </w:pPr>
    </w:p>
    <w:p w14:paraId="5B0CAF6B" w14:textId="77777777" w:rsidR="004F0FB9" w:rsidRPr="004F0FB9" w:rsidRDefault="004F0FB9" w:rsidP="006E3AE8">
      <w:pPr>
        <w:rPr>
          <w:rFonts w:ascii="Arial" w:hAnsi="Arial" w:cs="Arial"/>
          <w:b/>
          <w:sz w:val="22"/>
          <w:szCs w:val="22"/>
        </w:rPr>
      </w:pPr>
      <w:r w:rsidRPr="004F0FB9">
        <w:rPr>
          <w:rFonts w:ascii="Arial" w:hAnsi="Arial" w:cs="Arial"/>
          <w:b/>
          <w:sz w:val="22"/>
          <w:szCs w:val="22"/>
        </w:rPr>
        <w:t>Implications for Wales</w:t>
      </w:r>
    </w:p>
    <w:p w14:paraId="10B280E1" w14:textId="77777777" w:rsidR="004F0FB9" w:rsidRPr="004F0FB9" w:rsidRDefault="004F0FB9" w:rsidP="006E3AE8">
      <w:pPr>
        <w:ind w:left="720"/>
        <w:rPr>
          <w:rFonts w:ascii="Arial" w:hAnsi="Arial" w:cs="Arial"/>
          <w:sz w:val="22"/>
          <w:szCs w:val="22"/>
        </w:rPr>
      </w:pPr>
    </w:p>
    <w:p w14:paraId="2B06E585" w14:textId="6C093B56" w:rsidR="004F0FB9" w:rsidRPr="004F0FB9" w:rsidRDefault="004F0FB9" w:rsidP="006E3AE8">
      <w:pPr>
        <w:pStyle w:val="ListParagraph"/>
        <w:numPr>
          <w:ilvl w:val="0"/>
          <w:numId w:val="31"/>
        </w:numPr>
        <w:rPr>
          <w:rFonts w:ascii="Arial" w:eastAsiaTheme="minorHAnsi" w:hAnsi="Arial" w:cs="Arial"/>
          <w:sz w:val="22"/>
          <w:szCs w:val="22"/>
          <w:lang w:eastAsia="en-US"/>
        </w:rPr>
      </w:pPr>
      <w:r w:rsidRPr="004F0FB9">
        <w:rPr>
          <w:rFonts w:ascii="Arial" w:eastAsiaTheme="minorHAnsi" w:hAnsi="Arial" w:cs="Arial"/>
          <w:sz w:val="22"/>
          <w:szCs w:val="22"/>
          <w:lang w:eastAsia="en-US"/>
        </w:rPr>
        <w:t xml:space="preserve">There are no implications for Wales. MHCLG grant is for England only. In Wales improvement work is provided directly by the WLGA. </w:t>
      </w:r>
    </w:p>
    <w:p w14:paraId="2923122E" w14:textId="14DC69EF" w:rsidR="004F0FB9" w:rsidRDefault="004F0FB9" w:rsidP="00DB12EF">
      <w:pPr>
        <w:spacing w:before="120" w:after="240" w:line="280" w:lineRule="exact"/>
        <w:rPr>
          <w:rFonts w:ascii="Arial" w:hAnsi="Arial" w:cs="Arial"/>
          <w:b/>
        </w:rPr>
      </w:pPr>
    </w:p>
    <w:p w14:paraId="18732844" w14:textId="77777777" w:rsidR="004F0FB9" w:rsidRPr="00D8094B" w:rsidRDefault="004F0FB9" w:rsidP="00DB12EF">
      <w:pPr>
        <w:spacing w:before="120" w:after="240" w:line="280" w:lineRule="exact"/>
        <w:rPr>
          <w:rFonts w:ascii="Arial" w:hAnsi="Arial" w:cs="Arial"/>
          <w:b/>
        </w:rPr>
      </w:pPr>
    </w:p>
    <w:sectPr w:rsidR="004F0FB9" w:rsidRPr="00D8094B">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B6920" w14:textId="77777777" w:rsidR="00024130" w:rsidRDefault="00024130">
      <w:r>
        <w:separator/>
      </w:r>
    </w:p>
  </w:endnote>
  <w:endnote w:type="continuationSeparator" w:id="0">
    <w:p w14:paraId="6FD08107" w14:textId="77777777" w:rsidR="00024130" w:rsidRDefault="0002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16EE1" w14:textId="77777777" w:rsidR="00024130" w:rsidRDefault="00024130">
      <w:r>
        <w:separator/>
      </w:r>
    </w:p>
  </w:footnote>
  <w:footnote w:type="continuationSeparator" w:id="0">
    <w:p w14:paraId="1329EE65" w14:textId="77777777" w:rsidR="00024130" w:rsidRDefault="00024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5284"/>
      <w:gridCol w:w="3896"/>
    </w:tblGrid>
    <w:tr w:rsidR="00024130" w:rsidRPr="0066328A" w14:paraId="26C41A15" w14:textId="77777777" w:rsidTr="00545E64">
      <w:tc>
        <w:tcPr>
          <w:tcW w:w="5284" w:type="dxa"/>
          <w:vMerge w:val="restart"/>
          <w:shd w:val="clear" w:color="auto" w:fill="auto"/>
        </w:tcPr>
        <w:p w14:paraId="749DC5D1" w14:textId="77777777" w:rsidR="00024130" w:rsidRPr="0066328A" w:rsidRDefault="00024130" w:rsidP="009445F4">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005A389D" wp14:editId="203A84E0">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63BACAD9" w14:textId="77777777" w:rsidR="00024130" w:rsidRPr="00FF06F5" w:rsidRDefault="00024130" w:rsidP="00EE3CE9">
          <w:pPr>
            <w:tabs>
              <w:tab w:val="center" w:pos="4153"/>
              <w:tab w:val="right" w:pos="8306"/>
            </w:tabs>
            <w:rPr>
              <w:rFonts w:ascii="Arial" w:hAnsi="Arial" w:cs="Arial"/>
              <w:sz w:val="22"/>
              <w:szCs w:val="22"/>
            </w:rPr>
          </w:pPr>
          <w:r w:rsidRPr="00FF06F5">
            <w:rPr>
              <w:rFonts w:ascii="Arial" w:hAnsi="Arial" w:cs="Arial"/>
              <w:sz w:val="22"/>
              <w:szCs w:val="22"/>
            </w:rPr>
            <w:t>Improvement and Innovation Board</w:t>
          </w:r>
        </w:p>
        <w:p w14:paraId="1004E4A4" w14:textId="77777777" w:rsidR="00024130" w:rsidRPr="00FF06F5" w:rsidRDefault="00024130" w:rsidP="00EE3CE9">
          <w:pPr>
            <w:tabs>
              <w:tab w:val="center" w:pos="4153"/>
              <w:tab w:val="right" w:pos="8306"/>
            </w:tabs>
            <w:rPr>
              <w:rFonts w:ascii="Arial" w:hAnsi="Arial" w:cs="Arial"/>
              <w:sz w:val="22"/>
              <w:szCs w:val="22"/>
            </w:rPr>
          </w:pPr>
        </w:p>
      </w:tc>
    </w:tr>
    <w:tr w:rsidR="00024130" w:rsidRPr="0066328A" w14:paraId="16CEA03E" w14:textId="77777777" w:rsidTr="00545E64">
      <w:trPr>
        <w:trHeight w:val="450"/>
      </w:trPr>
      <w:tc>
        <w:tcPr>
          <w:tcW w:w="5284" w:type="dxa"/>
          <w:vMerge/>
          <w:shd w:val="clear" w:color="auto" w:fill="auto"/>
        </w:tcPr>
        <w:p w14:paraId="4C295B70" w14:textId="77777777" w:rsidR="00024130" w:rsidRPr="0066328A" w:rsidRDefault="00024130"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69A5C049" w14:textId="7EE4D7F2" w:rsidR="00024130" w:rsidRPr="00FF06F5" w:rsidRDefault="00024130" w:rsidP="00D91120">
          <w:pPr>
            <w:tabs>
              <w:tab w:val="center" w:pos="4153"/>
              <w:tab w:val="right" w:pos="8306"/>
            </w:tabs>
            <w:spacing w:before="60"/>
            <w:rPr>
              <w:rFonts w:ascii="Arial" w:hAnsi="Arial" w:cs="Arial"/>
              <w:sz w:val="22"/>
              <w:szCs w:val="22"/>
            </w:rPr>
          </w:pPr>
          <w:r w:rsidRPr="00FF06F5">
            <w:rPr>
              <w:rFonts w:ascii="Arial" w:hAnsi="Arial" w:cs="Arial"/>
              <w:sz w:val="22"/>
              <w:szCs w:val="22"/>
            </w:rPr>
            <w:t>28 March 2019</w:t>
          </w:r>
        </w:p>
      </w:tc>
    </w:tr>
    <w:tr w:rsidR="00024130" w:rsidRPr="0066328A" w14:paraId="412D4A9B" w14:textId="77777777" w:rsidTr="00545E64">
      <w:trPr>
        <w:trHeight w:val="450"/>
      </w:trPr>
      <w:tc>
        <w:tcPr>
          <w:tcW w:w="5284" w:type="dxa"/>
          <w:vMerge/>
          <w:shd w:val="clear" w:color="auto" w:fill="auto"/>
        </w:tcPr>
        <w:p w14:paraId="0FE61755" w14:textId="77777777" w:rsidR="00024130" w:rsidRPr="0066328A" w:rsidRDefault="00024130"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0919E32F" w14:textId="2BE34216" w:rsidR="00024130" w:rsidRPr="00FF06F5" w:rsidRDefault="00024130" w:rsidP="009445F4">
          <w:pPr>
            <w:tabs>
              <w:tab w:val="center" w:pos="4153"/>
              <w:tab w:val="right" w:pos="8306"/>
            </w:tabs>
            <w:spacing w:before="60"/>
            <w:rPr>
              <w:rFonts w:ascii="Arial" w:hAnsi="Arial" w:cs="Arial"/>
            </w:rPr>
          </w:pPr>
        </w:p>
      </w:tc>
    </w:tr>
  </w:tbl>
  <w:p w14:paraId="0193EF8F" w14:textId="77777777" w:rsidR="00024130" w:rsidRDefault="00024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B7"/>
    <w:multiLevelType w:val="hybridMultilevel"/>
    <w:tmpl w:val="F222810E"/>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0F6455"/>
    <w:multiLevelType w:val="hybridMultilevel"/>
    <w:tmpl w:val="9BB85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A25AB"/>
    <w:multiLevelType w:val="hybridMultilevel"/>
    <w:tmpl w:val="952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58EE"/>
    <w:multiLevelType w:val="hybridMultilevel"/>
    <w:tmpl w:val="CE9AA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636611"/>
    <w:multiLevelType w:val="hybridMultilevel"/>
    <w:tmpl w:val="64185274"/>
    <w:lvl w:ilvl="0" w:tplc="23780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C3D04"/>
    <w:multiLevelType w:val="multilevel"/>
    <w:tmpl w:val="04DCC35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5337C5"/>
    <w:multiLevelType w:val="multilevel"/>
    <w:tmpl w:val="30B03B7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716A7F"/>
    <w:multiLevelType w:val="hybridMultilevel"/>
    <w:tmpl w:val="AB0C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5A671E"/>
    <w:multiLevelType w:val="hybridMultilevel"/>
    <w:tmpl w:val="828EFD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5C709F4"/>
    <w:multiLevelType w:val="hybridMultilevel"/>
    <w:tmpl w:val="0E2AD8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6373616"/>
    <w:multiLevelType w:val="multilevel"/>
    <w:tmpl w:val="64B62D4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1806D1"/>
    <w:multiLevelType w:val="hybridMultilevel"/>
    <w:tmpl w:val="535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690D1C"/>
    <w:multiLevelType w:val="multilevel"/>
    <w:tmpl w:val="223A551E"/>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Arial" w:hAnsi="Arial" w:cs="Arial" w:hint="default"/>
        <w:sz w:val="22"/>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3" w15:restartNumberingAfterBreak="0">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78528E9"/>
    <w:multiLevelType w:val="hybridMultilevel"/>
    <w:tmpl w:val="70E2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F25BDE"/>
    <w:multiLevelType w:val="hybridMultilevel"/>
    <w:tmpl w:val="D898B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62205"/>
    <w:multiLevelType w:val="multilevel"/>
    <w:tmpl w:val="CA081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02049D"/>
    <w:multiLevelType w:val="hybridMultilevel"/>
    <w:tmpl w:val="38CAFF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E82C4A"/>
    <w:multiLevelType w:val="multilevel"/>
    <w:tmpl w:val="8E26A9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CE77980"/>
    <w:multiLevelType w:val="hybridMultilevel"/>
    <w:tmpl w:val="022A48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830EB2"/>
    <w:multiLevelType w:val="hybridMultilevel"/>
    <w:tmpl w:val="F4E6D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BA4DFA"/>
    <w:multiLevelType w:val="hybridMultilevel"/>
    <w:tmpl w:val="4A005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92008E"/>
    <w:multiLevelType w:val="multilevel"/>
    <w:tmpl w:val="D020E1A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720FEC"/>
    <w:multiLevelType w:val="multilevel"/>
    <w:tmpl w:val="E108AF12"/>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1E26564"/>
    <w:multiLevelType w:val="multilevel"/>
    <w:tmpl w:val="F4EC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C4E96"/>
    <w:multiLevelType w:val="hybridMultilevel"/>
    <w:tmpl w:val="0CFA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BA0D6B"/>
    <w:multiLevelType w:val="hybridMultilevel"/>
    <w:tmpl w:val="09D69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B03195"/>
    <w:multiLevelType w:val="hybridMultilevel"/>
    <w:tmpl w:val="29FE7C2C"/>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4D31B8"/>
    <w:multiLevelType w:val="hybridMultilevel"/>
    <w:tmpl w:val="4B380B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85B15B2"/>
    <w:multiLevelType w:val="hybridMultilevel"/>
    <w:tmpl w:val="150C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CF622B"/>
    <w:multiLevelType w:val="hybridMultilevel"/>
    <w:tmpl w:val="C9E8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2F0915"/>
    <w:multiLevelType w:val="hybridMultilevel"/>
    <w:tmpl w:val="32983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EE1AD9"/>
    <w:multiLevelType w:val="hybridMultilevel"/>
    <w:tmpl w:val="5D1669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3"/>
  </w:num>
  <w:num w:numId="2">
    <w:abstractNumId w:val="19"/>
  </w:num>
  <w:num w:numId="3">
    <w:abstractNumId w:val="29"/>
  </w:num>
  <w:num w:numId="4">
    <w:abstractNumId w:val="9"/>
  </w:num>
  <w:num w:numId="5">
    <w:abstractNumId w:val="6"/>
  </w:num>
  <w:num w:numId="6">
    <w:abstractNumId w:val="2"/>
  </w:num>
  <w:num w:numId="7">
    <w:abstractNumId w:val="17"/>
  </w:num>
  <w:num w:numId="8">
    <w:abstractNumId w:val="1"/>
  </w:num>
  <w:num w:numId="9">
    <w:abstractNumId w:val="14"/>
  </w:num>
  <w:num w:numId="10">
    <w:abstractNumId w:val="31"/>
  </w:num>
  <w:num w:numId="11">
    <w:abstractNumId w:val="30"/>
  </w:num>
  <w:num w:numId="12">
    <w:abstractNumId w:val="3"/>
  </w:num>
  <w:num w:numId="13">
    <w:abstractNumId w:val="11"/>
  </w:num>
  <w:num w:numId="14">
    <w:abstractNumId w:val="7"/>
  </w:num>
  <w:num w:numId="15">
    <w:abstractNumId w:val="27"/>
  </w:num>
  <w:num w:numId="16">
    <w:abstractNumId w:val="22"/>
  </w:num>
  <w:num w:numId="17">
    <w:abstractNumId w:val="0"/>
  </w:num>
  <w:num w:numId="18">
    <w:abstractNumId w:val="26"/>
  </w:num>
  <w:num w:numId="19">
    <w:abstractNumId w:val="4"/>
  </w:num>
  <w:num w:numId="20">
    <w:abstractNumId w:val="8"/>
  </w:num>
  <w:num w:numId="21">
    <w:abstractNumId w:val="32"/>
  </w:num>
  <w:num w:numId="22">
    <w:abstractNumId w:val="20"/>
  </w:num>
  <w:num w:numId="23">
    <w:abstractNumId w:val="15"/>
  </w:num>
  <w:num w:numId="24">
    <w:abstractNumId w:val="5"/>
  </w:num>
  <w:num w:numId="25">
    <w:abstractNumId w:val="16"/>
  </w:num>
  <w:num w:numId="26">
    <w:abstractNumId w:val="10"/>
  </w:num>
  <w:num w:numId="27">
    <w:abstractNumId w:val="33"/>
  </w:num>
  <w:num w:numId="28">
    <w:abstractNumId w:val="21"/>
  </w:num>
  <w:num w:numId="29">
    <w:abstractNumId w:val="25"/>
  </w:num>
  <w:num w:numId="30">
    <w:abstractNumId w:val="18"/>
  </w:num>
  <w:num w:numId="31">
    <w:abstractNumId w:val="28"/>
  </w:num>
  <w:num w:numId="32">
    <w:abstractNumId w:val="12"/>
  </w:num>
  <w:num w:numId="33">
    <w:abstractNumId w:val="23"/>
  </w:num>
  <w:num w:numId="3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24130"/>
    <w:rsid w:val="00031D01"/>
    <w:rsid w:val="00033906"/>
    <w:rsid w:val="00050898"/>
    <w:rsid w:val="00054DC8"/>
    <w:rsid w:val="00055BD7"/>
    <w:rsid w:val="00056036"/>
    <w:rsid w:val="000677E4"/>
    <w:rsid w:val="00073B23"/>
    <w:rsid w:val="00075486"/>
    <w:rsid w:val="00075EE8"/>
    <w:rsid w:val="000762EF"/>
    <w:rsid w:val="00081B77"/>
    <w:rsid w:val="00082022"/>
    <w:rsid w:val="000852AC"/>
    <w:rsid w:val="00085325"/>
    <w:rsid w:val="0009098F"/>
    <w:rsid w:val="00094BA7"/>
    <w:rsid w:val="0009596D"/>
    <w:rsid w:val="0009693A"/>
    <w:rsid w:val="00097EE0"/>
    <w:rsid w:val="000A085A"/>
    <w:rsid w:val="000A1A32"/>
    <w:rsid w:val="000A677C"/>
    <w:rsid w:val="000A6899"/>
    <w:rsid w:val="000B09B6"/>
    <w:rsid w:val="000B5520"/>
    <w:rsid w:val="000B5ADF"/>
    <w:rsid w:val="000B70CC"/>
    <w:rsid w:val="000C1A72"/>
    <w:rsid w:val="000C1D0A"/>
    <w:rsid w:val="000C1DD3"/>
    <w:rsid w:val="000C2A35"/>
    <w:rsid w:val="000C2EA7"/>
    <w:rsid w:val="000D185A"/>
    <w:rsid w:val="000E117D"/>
    <w:rsid w:val="000E26FA"/>
    <w:rsid w:val="000E37D5"/>
    <w:rsid w:val="000F5B31"/>
    <w:rsid w:val="000F77D2"/>
    <w:rsid w:val="001013B9"/>
    <w:rsid w:val="00101680"/>
    <w:rsid w:val="0010443F"/>
    <w:rsid w:val="0011628E"/>
    <w:rsid w:val="00123DBF"/>
    <w:rsid w:val="00133BBF"/>
    <w:rsid w:val="001346B8"/>
    <w:rsid w:val="001353FD"/>
    <w:rsid w:val="0014701F"/>
    <w:rsid w:val="00147C9F"/>
    <w:rsid w:val="00150A79"/>
    <w:rsid w:val="00162966"/>
    <w:rsid w:val="00164B17"/>
    <w:rsid w:val="00172E18"/>
    <w:rsid w:val="00175BB8"/>
    <w:rsid w:val="00177ABF"/>
    <w:rsid w:val="001816BE"/>
    <w:rsid w:val="00181D3B"/>
    <w:rsid w:val="0018577F"/>
    <w:rsid w:val="00194CA5"/>
    <w:rsid w:val="00195CD8"/>
    <w:rsid w:val="00196DB1"/>
    <w:rsid w:val="001A760E"/>
    <w:rsid w:val="001A7618"/>
    <w:rsid w:val="001B3B36"/>
    <w:rsid w:val="001B4E77"/>
    <w:rsid w:val="001C0EB7"/>
    <w:rsid w:val="001C203A"/>
    <w:rsid w:val="001C24B6"/>
    <w:rsid w:val="001C3243"/>
    <w:rsid w:val="001D04EB"/>
    <w:rsid w:val="001D074D"/>
    <w:rsid w:val="001D2FFE"/>
    <w:rsid w:val="001D39FB"/>
    <w:rsid w:val="001E0AF7"/>
    <w:rsid w:val="001E1B38"/>
    <w:rsid w:val="001E1E76"/>
    <w:rsid w:val="001E3B37"/>
    <w:rsid w:val="001E737C"/>
    <w:rsid w:val="001F3B8F"/>
    <w:rsid w:val="001F41A4"/>
    <w:rsid w:val="001F79CA"/>
    <w:rsid w:val="001F7D95"/>
    <w:rsid w:val="0020207C"/>
    <w:rsid w:val="00202F3A"/>
    <w:rsid w:val="002052AE"/>
    <w:rsid w:val="00206C6A"/>
    <w:rsid w:val="00213064"/>
    <w:rsid w:val="00214427"/>
    <w:rsid w:val="002159B6"/>
    <w:rsid w:val="00220CDD"/>
    <w:rsid w:val="00222A24"/>
    <w:rsid w:val="0022594D"/>
    <w:rsid w:val="00230CD0"/>
    <w:rsid w:val="00243548"/>
    <w:rsid w:val="00245A31"/>
    <w:rsid w:val="00245A7F"/>
    <w:rsid w:val="00246644"/>
    <w:rsid w:val="002526B8"/>
    <w:rsid w:val="002528F7"/>
    <w:rsid w:val="0025565B"/>
    <w:rsid w:val="00255DA1"/>
    <w:rsid w:val="002565FA"/>
    <w:rsid w:val="0026193B"/>
    <w:rsid w:val="00264A53"/>
    <w:rsid w:val="002667E8"/>
    <w:rsid w:val="00272D65"/>
    <w:rsid w:val="00274B91"/>
    <w:rsid w:val="002764E4"/>
    <w:rsid w:val="00277DAD"/>
    <w:rsid w:val="00281B6D"/>
    <w:rsid w:val="00283E28"/>
    <w:rsid w:val="002851D1"/>
    <w:rsid w:val="0029035F"/>
    <w:rsid w:val="00291E29"/>
    <w:rsid w:val="00294E3A"/>
    <w:rsid w:val="00297C14"/>
    <w:rsid w:val="002A0D65"/>
    <w:rsid w:val="002A12F5"/>
    <w:rsid w:val="002B748F"/>
    <w:rsid w:val="002B7786"/>
    <w:rsid w:val="002C31FB"/>
    <w:rsid w:val="002C3B62"/>
    <w:rsid w:val="002D31C1"/>
    <w:rsid w:val="002D3703"/>
    <w:rsid w:val="002E014B"/>
    <w:rsid w:val="002E1AA8"/>
    <w:rsid w:val="002E1B9D"/>
    <w:rsid w:val="002E3A0E"/>
    <w:rsid w:val="002F0ED0"/>
    <w:rsid w:val="002F5493"/>
    <w:rsid w:val="002F7FBD"/>
    <w:rsid w:val="00300CCF"/>
    <w:rsid w:val="003026E1"/>
    <w:rsid w:val="00304CFD"/>
    <w:rsid w:val="00305F12"/>
    <w:rsid w:val="0030659C"/>
    <w:rsid w:val="00315770"/>
    <w:rsid w:val="00320677"/>
    <w:rsid w:val="003276B9"/>
    <w:rsid w:val="00330218"/>
    <w:rsid w:val="0033056D"/>
    <w:rsid w:val="00330C37"/>
    <w:rsid w:val="0033241D"/>
    <w:rsid w:val="003338B0"/>
    <w:rsid w:val="003455E7"/>
    <w:rsid w:val="0034585F"/>
    <w:rsid w:val="003510D2"/>
    <w:rsid w:val="00361355"/>
    <w:rsid w:val="00370EA4"/>
    <w:rsid w:val="00372E9E"/>
    <w:rsid w:val="00372F52"/>
    <w:rsid w:val="00381FB8"/>
    <w:rsid w:val="00382381"/>
    <w:rsid w:val="00392ECF"/>
    <w:rsid w:val="00394D3C"/>
    <w:rsid w:val="003A00FE"/>
    <w:rsid w:val="003A069D"/>
    <w:rsid w:val="003A2436"/>
    <w:rsid w:val="003A2BEF"/>
    <w:rsid w:val="003A3B7D"/>
    <w:rsid w:val="003A5401"/>
    <w:rsid w:val="003B5722"/>
    <w:rsid w:val="003B74F8"/>
    <w:rsid w:val="003C0DD7"/>
    <w:rsid w:val="003C59F0"/>
    <w:rsid w:val="003C7C87"/>
    <w:rsid w:val="003D09AA"/>
    <w:rsid w:val="003D24E8"/>
    <w:rsid w:val="003D5A1D"/>
    <w:rsid w:val="003E0575"/>
    <w:rsid w:val="003E12FA"/>
    <w:rsid w:val="003E135B"/>
    <w:rsid w:val="003E1BC7"/>
    <w:rsid w:val="003E57B4"/>
    <w:rsid w:val="003E67CF"/>
    <w:rsid w:val="003F18AA"/>
    <w:rsid w:val="003F64A3"/>
    <w:rsid w:val="003F7094"/>
    <w:rsid w:val="0040031F"/>
    <w:rsid w:val="004016D4"/>
    <w:rsid w:val="0040171C"/>
    <w:rsid w:val="00402F93"/>
    <w:rsid w:val="004033DE"/>
    <w:rsid w:val="00405262"/>
    <w:rsid w:val="004118CC"/>
    <w:rsid w:val="00412E75"/>
    <w:rsid w:val="004230B5"/>
    <w:rsid w:val="00423509"/>
    <w:rsid w:val="00427623"/>
    <w:rsid w:val="00433DBE"/>
    <w:rsid w:val="00435A60"/>
    <w:rsid w:val="00437142"/>
    <w:rsid w:val="004427BA"/>
    <w:rsid w:val="004570FD"/>
    <w:rsid w:val="004571B9"/>
    <w:rsid w:val="0046210F"/>
    <w:rsid w:val="004627EA"/>
    <w:rsid w:val="004630A8"/>
    <w:rsid w:val="0047073B"/>
    <w:rsid w:val="004757AD"/>
    <w:rsid w:val="00475BEF"/>
    <w:rsid w:val="00482D34"/>
    <w:rsid w:val="004849DE"/>
    <w:rsid w:val="00486A29"/>
    <w:rsid w:val="004945A5"/>
    <w:rsid w:val="00495FDA"/>
    <w:rsid w:val="00497722"/>
    <w:rsid w:val="004A0015"/>
    <w:rsid w:val="004A2463"/>
    <w:rsid w:val="004B236A"/>
    <w:rsid w:val="004B245F"/>
    <w:rsid w:val="004B3F25"/>
    <w:rsid w:val="004B48C3"/>
    <w:rsid w:val="004C1BAD"/>
    <w:rsid w:val="004C42AF"/>
    <w:rsid w:val="004C4C6F"/>
    <w:rsid w:val="004C53F6"/>
    <w:rsid w:val="004D24DE"/>
    <w:rsid w:val="004D372C"/>
    <w:rsid w:val="004D644A"/>
    <w:rsid w:val="004E0590"/>
    <w:rsid w:val="004E3487"/>
    <w:rsid w:val="004E625B"/>
    <w:rsid w:val="004F0FB9"/>
    <w:rsid w:val="004F7EEC"/>
    <w:rsid w:val="00501DF8"/>
    <w:rsid w:val="0050306D"/>
    <w:rsid w:val="0050334C"/>
    <w:rsid w:val="00507FAF"/>
    <w:rsid w:val="00517A06"/>
    <w:rsid w:val="00517C92"/>
    <w:rsid w:val="00520A28"/>
    <w:rsid w:val="00520B2A"/>
    <w:rsid w:val="00527141"/>
    <w:rsid w:val="00532A82"/>
    <w:rsid w:val="00534313"/>
    <w:rsid w:val="00534CEF"/>
    <w:rsid w:val="005365C3"/>
    <w:rsid w:val="00541BD4"/>
    <w:rsid w:val="005426D4"/>
    <w:rsid w:val="0054355C"/>
    <w:rsid w:val="00543FFF"/>
    <w:rsid w:val="00545E64"/>
    <w:rsid w:val="00552BFD"/>
    <w:rsid w:val="005535FA"/>
    <w:rsid w:val="00553C83"/>
    <w:rsid w:val="00554292"/>
    <w:rsid w:val="00556B47"/>
    <w:rsid w:val="005669F9"/>
    <w:rsid w:val="00566B93"/>
    <w:rsid w:val="00575348"/>
    <w:rsid w:val="0058427C"/>
    <w:rsid w:val="00586AA8"/>
    <w:rsid w:val="00586E8C"/>
    <w:rsid w:val="00592A53"/>
    <w:rsid w:val="0059415E"/>
    <w:rsid w:val="00596F17"/>
    <w:rsid w:val="00596F92"/>
    <w:rsid w:val="005A321B"/>
    <w:rsid w:val="005A5CE8"/>
    <w:rsid w:val="005A649B"/>
    <w:rsid w:val="005B1CA8"/>
    <w:rsid w:val="005B1D77"/>
    <w:rsid w:val="005C064E"/>
    <w:rsid w:val="005C1F8E"/>
    <w:rsid w:val="005C3CE5"/>
    <w:rsid w:val="005D4581"/>
    <w:rsid w:val="005D61A4"/>
    <w:rsid w:val="005D6346"/>
    <w:rsid w:val="005F1252"/>
    <w:rsid w:val="005F1795"/>
    <w:rsid w:val="005F317F"/>
    <w:rsid w:val="005F455F"/>
    <w:rsid w:val="00603D36"/>
    <w:rsid w:val="00611A2B"/>
    <w:rsid w:val="006164EB"/>
    <w:rsid w:val="006173D6"/>
    <w:rsid w:val="0061798E"/>
    <w:rsid w:val="00617BFC"/>
    <w:rsid w:val="00623B1C"/>
    <w:rsid w:val="0062652D"/>
    <w:rsid w:val="0062740F"/>
    <w:rsid w:val="00632C6B"/>
    <w:rsid w:val="00633367"/>
    <w:rsid w:val="0063440D"/>
    <w:rsid w:val="00636865"/>
    <w:rsid w:val="00642195"/>
    <w:rsid w:val="006469CD"/>
    <w:rsid w:val="00652E5C"/>
    <w:rsid w:val="00657BD4"/>
    <w:rsid w:val="0066328A"/>
    <w:rsid w:val="00670A7C"/>
    <w:rsid w:val="006732FE"/>
    <w:rsid w:val="00676E91"/>
    <w:rsid w:val="00677FBC"/>
    <w:rsid w:val="0068013E"/>
    <w:rsid w:val="00680FFD"/>
    <w:rsid w:val="006912F7"/>
    <w:rsid w:val="00696623"/>
    <w:rsid w:val="0069663D"/>
    <w:rsid w:val="006A0636"/>
    <w:rsid w:val="006A5CF4"/>
    <w:rsid w:val="006B031A"/>
    <w:rsid w:val="006B0FC2"/>
    <w:rsid w:val="006B17FC"/>
    <w:rsid w:val="006B3745"/>
    <w:rsid w:val="006B3C66"/>
    <w:rsid w:val="006B5E67"/>
    <w:rsid w:val="006C16FD"/>
    <w:rsid w:val="006C5DF2"/>
    <w:rsid w:val="006D3181"/>
    <w:rsid w:val="006E00CA"/>
    <w:rsid w:val="006E00D3"/>
    <w:rsid w:val="006E3AE8"/>
    <w:rsid w:val="006E405E"/>
    <w:rsid w:val="006F07F5"/>
    <w:rsid w:val="006F4F31"/>
    <w:rsid w:val="006F500E"/>
    <w:rsid w:val="006F6960"/>
    <w:rsid w:val="007024FF"/>
    <w:rsid w:val="0070597B"/>
    <w:rsid w:val="00706136"/>
    <w:rsid w:val="007072FF"/>
    <w:rsid w:val="007075BA"/>
    <w:rsid w:val="00712631"/>
    <w:rsid w:val="007155DC"/>
    <w:rsid w:val="007161C9"/>
    <w:rsid w:val="0071623C"/>
    <w:rsid w:val="007162A8"/>
    <w:rsid w:val="00723676"/>
    <w:rsid w:val="00723E8C"/>
    <w:rsid w:val="00725170"/>
    <w:rsid w:val="00727445"/>
    <w:rsid w:val="00727BAD"/>
    <w:rsid w:val="007302E3"/>
    <w:rsid w:val="00732EA5"/>
    <w:rsid w:val="007376D1"/>
    <w:rsid w:val="007412EC"/>
    <w:rsid w:val="00747BBB"/>
    <w:rsid w:val="007512CD"/>
    <w:rsid w:val="007535B8"/>
    <w:rsid w:val="0076476A"/>
    <w:rsid w:val="00767224"/>
    <w:rsid w:val="00793664"/>
    <w:rsid w:val="007A3A13"/>
    <w:rsid w:val="007B58F3"/>
    <w:rsid w:val="007B7AF6"/>
    <w:rsid w:val="007C1588"/>
    <w:rsid w:val="007C1D46"/>
    <w:rsid w:val="007C6AA0"/>
    <w:rsid w:val="007D0BC7"/>
    <w:rsid w:val="007D6DFF"/>
    <w:rsid w:val="007D7126"/>
    <w:rsid w:val="007E01EA"/>
    <w:rsid w:val="007E1569"/>
    <w:rsid w:val="007E1DB1"/>
    <w:rsid w:val="007E3C6C"/>
    <w:rsid w:val="007E42E9"/>
    <w:rsid w:val="007E440A"/>
    <w:rsid w:val="007E5800"/>
    <w:rsid w:val="007E7B7B"/>
    <w:rsid w:val="007F2856"/>
    <w:rsid w:val="007F2D0D"/>
    <w:rsid w:val="0081033D"/>
    <w:rsid w:val="008132C6"/>
    <w:rsid w:val="00815090"/>
    <w:rsid w:val="0081533C"/>
    <w:rsid w:val="0081699F"/>
    <w:rsid w:val="00817344"/>
    <w:rsid w:val="008175A2"/>
    <w:rsid w:val="00817B39"/>
    <w:rsid w:val="00823D83"/>
    <w:rsid w:val="00825089"/>
    <w:rsid w:val="00830DE4"/>
    <w:rsid w:val="00831618"/>
    <w:rsid w:val="00833B26"/>
    <w:rsid w:val="00834ECB"/>
    <w:rsid w:val="0083544C"/>
    <w:rsid w:val="00840685"/>
    <w:rsid w:val="008530F7"/>
    <w:rsid w:val="00853FBA"/>
    <w:rsid w:val="00854764"/>
    <w:rsid w:val="008550BC"/>
    <w:rsid w:val="00855D64"/>
    <w:rsid w:val="00861CE8"/>
    <w:rsid w:val="00862660"/>
    <w:rsid w:val="00863BDD"/>
    <w:rsid w:val="008700A5"/>
    <w:rsid w:val="0087232F"/>
    <w:rsid w:val="00882238"/>
    <w:rsid w:val="008852FC"/>
    <w:rsid w:val="00886247"/>
    <w:rsid w:val="00890A36"/>
    <w:rsid w:val="00890F55"/>
    <w:rsid w:val="0089227B"/>
    <w:rsid w:val="00892685"/>
    <w:rsid w:val="008A0410"/>
    <w:rsid w:val="008A0BE2"/>
    <w:rsid w:val="008A5E12"/>
    <w:rsid w:val="008B1907"/>
    <w:rsid w:val="008B6E7B"/>
    <w:rsid w:val="008B7DCD"/>
    <w:rsid w:val="008C1FDA"/>
    <w:rsid w:val="008C7C10"/>
    <w:rsid w:val="008D0583"/>
    <w:rsid w:val="008E07B9"/>
    <w:rsid w:val="008E265D"/>
    <w:rsid w:val="008F027C"/>
    <w:rsid w:val="008F0D1C"/>
    <w:rsid w:val="008F2D93"/>
    <w:rsid w:val="008F71A6"/>
    <w:rsid w:val="0090119F"/>
    <w:rsid w:val="009051B5"/>
    <w:rsid w:val="0090636C"/>
    <w:rsid w:val="00907A6E"/>
    <w:rsid w:val="00921B95"/>
    <w:rsid w:val="009231F1"/>
    <w:rsid w:val="00932FFA"/>
    <w:rsid w:val="00944486"/>
    <w:rsid w:val="009445F4"/>
    <w:rsid w:val="00946BC3"/>
    <w:rsid w:val="009520EF"/>
    <w:rsid w:val="00955A6B"/>
    <w:rsid w:val="0095727A"/>
    <w:rsid w:val="00961AF0"/>
    <w:rsid w:val="009645D1"/>
    <w:rsid w:val="00974137"/>
    <w:rsid w:val="009757B0"/>
    <w:rsid w:val="00975F24"/>
    <w:rsid w:val="00981406"/>
    <w:rsid w:val="00983AA1"/>
    <w:rsid w:val="00984351"/>
    <w:rsid w:val="009917E9"/>
    <w:rsid w:val="009979FD"/>
    <w:rsid w:val="009A1CE2"/>
    <w:rsid w:val="009A461B"/>
    <w:rsid w:val="009A610C"/>
    <w:rsid w:val="009A741E"/>
    <w:rsid w:val="009A7A7E"/>
    <w:rsid w:val="009B1A2B"/>
    <w:rsid w:val="009B34E1"/>
    <w:rsid w:val="009B4B8C"/>
    <w:rsid w:val="009B5813"/>
    <w:rsid w:val="009B701F"/>
    <w:rsid w:val="009C4FC2"/>
    <w:rsid w:val="009C7EE9"/>
    <w:rsid w:val="009D3609"/>
    <w:rsid w:val="009E0064"/>
    <w:rsid w:val="009E0297"/>
    <w:rsid w:val="009E24F6"/>
    <w:rsid w:val="009E55B9"/>
    <w:rsid w:val="009E6B78"/>
    <w:rsid w:val="009F1D72"/>
    <w:rsid w:val="009F2ACB"/>
    <w:rsid w:val="009F4E82"/>
    <w:rsid w:val="009F530F"/>
    <w:rsid w:val="009F5BDF"/>
    <w:rsid w:val="009F7169"/>
    <w:rsid w:val="00A0395A"/>
    <w:rsid w:val="00A0625C"/>
    <w:rsid w:val="00A112A2"/>
    <w:rsid w:val="00A14678"/>
    <w:rsid w:val="00A15AFB"/>
    <w:rsid w:val="00A24DE4"/>
    <w:rsid w:val="00A32378"/>
    <w:rsid w:val="00A33C95"/>
    <w:rsid w:val="00A40C7A"/>
    <w:rsid w:val="00A4722C"/>
    <w:rsid w:val="00A514B7"/>
    <w:rsid w:val="00A51C1A"/>
    <w:rsid w:val="00A532E1"/>
    <w:rsid w:val="00A53F3E"/>
    <w:rsid w:val="00A55B46"/>
    <w:rsid w:val="00A60B7F"/>
    <w:rsid w:val="00A6333C"/>
    <w:rsid w:val="00A738A1"/>
    <w:rsid w:val="00A73941"/>
    <w:rsid w:val="00A745E9"/>
    <w:rsid w:val="00A777EE"/>
    <w:rsid w:val="00A8085C"/>
    <w:rsid w:val="00A81BAC"/>
    <w:rsid w:val="00A82E22"/>
    <w:rsid w:val="00A8478B"/>
    <w:rsid w:val="00A93971"/>
    <w:rsid w:val="00A959A2"/>
    <w:rsid w:val="00A960FC"/>
    <w:rsid w:val="00A967AC"/>
    <w:rsid w:val="00AA0889"/>
    <w:rsid w:val="00AA173A"/>
    <w:rsid w:val="00AA4D52"/>
    <w:rsid w:val="00AA7A6F"/>
    <w:rsid w:val="00AB352D"/>
    <w:rsid w:val="00AB5D4F"/>
    <w:rsid w:val="00AC0BE6"/>
    <w:rsid w:val="00AC2A97"/>
    <w:rsid w:val="00AC48F5"/>
    <w:rsid w:val="00AC6F5A"/>
    <w:rsid w:val="00AC768F"/>
    <w:rsid w:val="00AC786A"/>
    <w:rsid w:val="00AD13DB"/>
    <w:rsid w:val="00AD425F"/>
    <w:rsid w:val="00AD5B80"/>
    <w:rsid w:val="00AD7282"/>
    <w:rsid w:val="00AE47DF"/>
    <w:rsid w:val="00AE6B1A"/>
    <w:rsid w:val="00AF022B"/>
    <w:rsid w:val="00B034C3"/>
    <w:rsid w:val="00B07C3B"/>
    <w:rsid w:val="00B11301"/>
    <w:rsid w:val="00B15B09"/>
    <w:rsid w:val="00B15EA5"/>
    <w:rsid w:val="00B17B5A"/>
    <w:rsid w:val="00B2329E"/>
    <w:rsid w:val="00B25B57"/>
    <w:rsid w:val="00B34C96"/>
    <w:rsid w:val="00B40FE8"/>
    <w:rsid w:val="00B43058"/>
    <w:rsid w:val="00B44020"/>
    <w:rsid w:val="00B4707A"/>
    <w:rsid w:val="00B506BB"/>
    <w:rsid w:val="00B54553"/>
    <w:rsid w:val="00B55E24"/>
    <w:rsid w:val="00B57AED"/>
    <w:rsid w:val="00B57EC8"/>
    <w:rsid w:val="00B6670F"/>
    <w:rsid w:val="00B66E02"/>
    <w:rsid w:val="00B756D3"/>
    <w:rsid w:val="00B80358"/>
    <w:rsid w:val="00B856BF"/>
    <w:rsid w:val="00B87E75"/>
    <w:rsid w:val="00B90885"/>
    <w:rsid w:val="00B90934"/>
    <w:rsid w:val="00B916D3"/>
    <w:rsid w:val="00B96254"/>
    <w:rsid w:val="00BA3C4C"/>
    <w:rsid w:val="00BA5082"/>
    <w:rsid w:val="00BB193A"/>
    <w:rsid w:val="00BB2A62"/>
    <w:rsid w:val="00BB3659"/>
    <w:rsid w:val="00BB534E"/>
    <w:rsid w:val="00BB5693"/>
    <w:rsid w:val="00BD0568"/>
    <w:rsid w:val="00BD31CD"/>
    <w:rsid w:val="00BD37B6"/>
    <w:rsid w:val="00BD3AAE"/>
    <w:rsid w:val="00BD7206"/>
    <w:rsid w:val="00BE2078"/>
    <w:rsid w:val="00BE29A1"/>
    <w:rsid w:val="00BE32C5"/>
    <w:rsid w:val="00BE4B28"/>
    <w:rsid w:val="00BF2CA6"/>
    <w:rsid w:val="00BF5D47"/>
    <w:rsid w:val="00BF74B8"/>
    <w:rsid w:val="00C0092B"/>
    <w:rsid w:val="00C00E34"/>
    <w:rsid w:val="00C0178B"/>
    <w:rsid w:val="00C02ADF"/>
    <w:rsid w:val="00C033AC"/>
    <w:rsid w:val="00C075D2"/>
    <w:rsid w:val="00C10D8C"/>
    <w:rsid w:val="00C15E1A"/>
    <w:rsid w:val="00C15F7E"/>
    <w:rsid w:val="00C16895"/>
    <w:rsid w:val="00C226B0"/>
    <w:rsid w:val="00C23E2A"/>
    <w:rsid w:val="00C30132"/>
    <w:rsid w:val="00C32541"/>
    <w:rsid w:val="00C33637"/>
    <w:rsid w:val="00C3585C"/>
    <w:rsid w:val="00C35B5C"/>
    <w:rsid w:val="00C458A4"/>
    <w:rsid w:val="00C46ED3"/>
    <w:rsid w:val="00C53663"/>
    <w:rsid w:val="00C568BF"/>
    <w:rsid w:val="00C6048D"/>
    <w:rsid w:val="00C616CF"/>
    <w:rsid w:val="00C65737"/>
    <w:rsid w:val="00C657BB"/>
    <w:rsid w:val="00C663AB"/>
    <w:rsid w:val="00C706FE"/>
    <w:rsid w:val="00C7155A"/>
    <w:rsid w:val="00C74821"/>
    <w:rsid w:val="00C757A7"/>
    <w:rsid w:val="00C86556"/>
    <w:rsid w:val="00C8692C"/>
    <w:rsid w:val="00C945C0"/>
    <w:rsid w:val="00C960A6"/>
    <w:rsid w:val="00C97DEB"/>
    <w:rsid w:val="00CA4A79"/>
    <w:rsid w:val="00CB212C"/>
    <w:rsid w:val="00CB2DEB"/>
    <w:rsid w:val="00CB2E0D"/>
    <w:rsid w:val="00CB3BCA"/>
    <w:rsid w:val="00CB406F"/>
    <w:rsid w:val="00CB4181"/>
    <w:rsid w:val="00CB5B39"/>
    <w:rsid w:val="00CC2DBA"/>
    <w:rsid w:val="00CC319B"/>
    <w:rsid w:val="00CC416B"/>
    <w:rsid w:val="00CC6834"/>
    <w:rsid w:val="00CC7B43"/>
    <w:rsid w:val="00CD1CDC"/>
    <w:rsid w:val="00CD2099"/>
    <w:rsid w:val="00CD57BF"/>
    <w:rsid w:val="00CD724A"/>
    <w:rsid w:val="00CD7B88"/>
    <w:rsid w:val="00CE3E2D"/>
    <w:rsid w:val="00CE647A"/>
    <w:rsid w:val="00CF0D69"/>
    <w:rsid w:val="00CF2544"/>
    <w:rsid w:val="00CF7097"/>
    <w:rsid w:val="00D06BA7"/>
    <w:rsid w:val="00D06F69"/>
    <w:rsid w:val="00D07E53"/>
    <w:rsid w:val="00D113E5"/>
    <w:rsid w:val="00D118AC"/>
    <w:rsid w:val="00D14FC8"/>
    <w:rsid w:val="00D15747"/>
    <w:rsid w:val="00D21163"/>
    <w:rsid w:val="00D26B7A"/>
    <w:rsid w:val="00D408EE"/>
    <w:rsid w:val="00D426B6"/>
    <w:rsid w:val="00D44864"/>
    <w:rsid w:val="00D55D7B"/>
    <w:rsid w:val="00D568B0"/>
    <w:rsid w:val="00D57EB4"/>
    <w:rsid w:val="00D57EF0"/>
    <w:rsid w:val="00D61F68"/>
    <w:rsid w:val="00D7011D"/>
    <w:rsid w:val="00D708CC"/>
    <w:rsid w:val="00D765E5"/>
    <w:rsid w:val="00D77746"/>
    <w:rsid w:val="00D8094B"/>
    <w:rsid w:val="00D82386"/>
    <w:rsid w:val="00D85219"/>
    <w:rsid w:val="00D8529F"/>
    <w:rsid w:val="00D91120"/>
    <w:rsid w:val="00D92261"/>
    <w:rsid w:val="00D94C3D"/>
    <w:rsid w:val="00D96FE7"/>
    <w:rsid w:val="00DA08A9"/>
    <w:rsid w:val="00DA2DA5"/>
    <w:rsid w:val="00DA34C5"/>
    <w:rsid w:val="00DA4A26"/>
    <w:rsid w:val="00DB12EF"/>
    <w:rsid w:val="00DB2705"/>
    <w:rsid w:val="00DB5BD4"/>
    <w:rsid w:val="00DB623C"/>
    <w:rsid w:val="00DC1492"/>
    <w:rsid w:val="00DC47A1"/>
    <w:rsid w:val="00DC4933"/>
    <w:rsid w:val="00DC4E02"/>
    <w:rsid w:val="00DC58A6"/>
    <w:rsid w:val="00DC7F24"/>
    <w:rsid w:val="00DE1B93"/>
    <w:rsid w:val="00DE3ADA"/>
    <w:rsid w:val="00DE3E58"/>
    <w:rsid w:val="00DE7CBE"/>
    <w:rsid w:val="00DF0478"/>
    <w:rsid w:val="00E020B7"/>
    <w:rsid w:val="00E03576"/>
    <w:rsid w:val="00E0721F"/>
    <w:rsid w:val="00E10EF5"/>
    <w:rsid w:val="00E11320"/>
    <w:rsid w:val="00E11EF6"/>
    <w:rsid w:val="00E20378"/>
    <w:rsid w:val="00E20B07"/>
    <w:rsid w:val="00E31145"/>
    <w:rsid w:val="00E35EA5"/>
    <w:rsid w:val="00E36259"/>
    <w:rsid w:val="00E4028D"/>
    <w:rsid w:val="00E50848"/>
    <w:rsid w:val="00E57FC2"/>
    <w:rsid w:val="00E62370"/>
    <w:rsid w:val="00E6315A"/>
    <w:rsid w:val="00E656D9"/>
    <w:rsid w:val="00E672FF"/>
    <w:rsid w:val="00E7152C"/>
    <w:rsid w:val="00E723ED"/>
    <w:rsid w:val="00E74B51"/>
    <w:rsid w:val="00E818E7"/>
    <w:rsid w:val="00E8752A"/>
    <w:rsid w:val="00EA0FD6"/>
    <w:rsid w:val="00EA2C19"/>
    <w:rsid w:val="00EA3F62"/>
    <w:rsid w:val="00EB67DC"/>
    <w:rsid w:val="00EB6F58"/>
    <w:rsid w:val="00EB7C9D"/>
    <w:rsid w:val="00EC0857"/>
    <w:rsid w:val="00EC1223"/>
    <w:rsid w:val="00ED1971"/>
    <w:rsid w:val="00ED1B17"/>
    <w:rsid w:val="00ED7C77"/>
    <w:rsid w:val="00EE3CE9"/>
    <w:rsid w:val="00EE40D3"/>
    <w:rsid w:val="00EE7969"/>
    <w:rsid w:val="00EF5FA8"/>
    <w:rsid w:val="00EF7378"/>
    <w:rsid w:val="00EF7592"/>
    <w:rsid w:val="00F01F07"/>
    <w:rsid w:val="00F30134"/>
    <w:rsid w:val="00F3113C"/>
    <w:rsid w:val="00F36FCE"/>
    <w:rsid w:val="00F41DF7"/>
    <w:rsid w:val="00F42174"/>
    <w:rsid w:val="00F42AF4"/>
    <w:rsid w:val="00F44D9E"/>
    <w:rsid w:val="00F476C6"/>
    <w:rsid w:val="00F541DD"/>
    <w:rsid w:val="00F544E7"/>
    <w:rsid w:val="00F55FB7"/>
    <w:rsid w:val="00F647CE"/>
    <w:rsid w:val="00F650F2"/>
    <w:rsid w:val="00F75458"/>
    <w:rsid w:val="00F80D5D"/>
    <w:rsid w:val="00F81780"/>
    <w:rsid w:val="00F82AF0"/>
    <w:rsid w:val="00F84ADD"/>
    <w:rsid w:val="00F85271"/>
    <w:rsid w:val="00F85914"/>
    <w:rsid w:val="00F86421"/>
    <w:rsid w:val="00F86ED6"/>
    <w:rsid w:val="00F920B3"/>
    <w:rsid w:val="00F97D41"/>
    <w:rsid w:val="00FA1A4C"/>
    <w:rsid w:val="00FA1CC3"/>
    <w:rsid w:val="00FA7971"/>
    <w:rsid w:val="00FB1531"/>
    <w:rsid w:val="00FB45A3"/>
    <w:rsid w:val="00FB599C"/>
    <w:rsid w:val="00FB7BEF"/>
    <w:rsid w:val="00FC2CB7"/>
    <w:rsid w:val="00FD3D02"/>
    <w:rsid w:val="00FD4975"/>
    <w:rsid w:val="00FE3E5F"/>
    <w:rsid w:val="00FE40AB"/>
    <w:rsid w:val="00FE41C8"/>
    <w:rsid w:val="00FF06F5"/>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AA1303"/>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 w:type="character" w:styleId="CommentReference">
    <w:name w:val="annotation reference"/>
    <w:basedOn w:val="DefaultParagraphFont"/>
    <w:semiHidden/>
    <w:unhideWhenUsed/>
    <w:rsid w:val="00CF2544"/>
    <w:rPr>
      <w:sz w:val="16"/>
      <w:szCs w:val="16"/>
    </w:rPr>
  </w:style>
  <w:style w:type="paragraph" w:styleId="CommentText">
    <w:name w:val="annotation text"/>
    <w:basedOn w:val="Normal"/>
    <w:link w:val="CommentTextChar"/>
    <w:semiHidden/>
    <w:unhideWhenUsed/>
    <w:rsid w:val="00CF2544"/>
    <w:rPr>
      <w:sz w:val="20"/>
      <w:szCs w:val="20"/>
    </w:rPr>
  </w:style>
  <w:style w:type="character" w:customStyle="1" w:styleId="CommentTextChar">
    <w:name w:val="Comment Text Char"/>
    <w:basedOn w:val="DefaultParagraphFont"/>
    <w:link w:val="CommentText"/>
    <w:semiHidden/>
    <w:rsid w:val="00CF2544"/>
  </w:style>
  <w:style w:type="paragraph" w:styleId="CommentSubject">
    <w:name w:val="annotation subject"/>
    <w:basedOn w:val="CommentText"/>
    <w:next w:val="CommentText"/>
    <w:link w:val="CommentSubjectChar"/>
    <w:semiHidden/>
    <w:unhideWhenUsed/>
    <w:rsid w:val="00CF2544"/>
    <w:rPr>
      <w:b/>
      <w:bCs/>
    </w:rPr>
  </w:style>
  <w:style w:type="character" w:customStyle="1" w:styleId="CommentSubjectChar">
    <w:name w:val="Comment Subject Char"/>
    <w:basedOn w:val="CommentTextChar"/>
    <w:link w:val="CommentSubject"/>
    <w:semiHidden/>
    <w:rsid w:val="00CF2544"/>
    <w:rPr>
      <w:b/>
      <w:bCs/>
    </w:rPr>
  </w:style>
  <w:style w:type="paragraph" w:styleId="NoSpacing">
    <w:name w:val="No Spacing"/>
    <w:uiPriority w:val="1"/>
    <w:qFormat/>
    <w:rsid w:val="00D92261"/>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CC7B4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C7B43"/>
    <w:rPr>
      <w:rFonts w:ascii="Consolas" w:eastAsiaTheme="minorHAnsi" w:hAnsi="Consolas" w:cs="Consolas"/>
      <w:sz w:val="21"/>
      <w:szCs w:val="21"/>
      <w:lang w:eastAsia="en-US"/>
    </w:rPr>
  </w:style>
  <w:style w:type="paragraph" w:customStyle="1" w:styleId="Default">
    <w:name w:val="Default"/>
    <w:rsid w:val="009645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252549698">
      <w:bodyDiv w:val="1"/>
      <w:marLeft w:val="0"/>
      <w:marRight w:val="0"/>
      <w:marTop w:val="0"/>
      <w:marBottom w:val="0"/>
      <w:divBdr>
        <w:top w:val="none" w:sz="0" w:space="0" w:color="auto"/>
        <w:left w:val="none" w:sz="0" w:space="0" w:color="auto"/>
        <w:bottom w:val="none" w:sz="0" w:space="0" w:color="auto"/>
        <w:right w:val="none" w:sz="0" w:space="0" w:color="auto"/>
      </w:divBdr>
      <w:divsChild>
        <w:div w:id="448546786">
          <w:marLeft w:val="0"/>
          <w:marRight w:val="0"/>
          <w:marTop w:val="0"/>
          <w:marBottom w:val="0"/>
          <w:divBdr>
            <w:top w:val="none" w:sz="0" w:space="0" w:color="auto"/>
            <w:left w:val="none" w:sz="0" w:space="0" w:color="auto"/>
            <w:bottom w:val="none" w:sz="0" w:space="0" w:color="auto"/>
            <w:right w:val="none" w:sz="0" w:space="0" w:color="auto"/>
          </w:divBdr>
          <w:divsChild>
            <w:div w:id="1889144734">
              <w:marLeft w:val="0"/>
              <w:marRight w:val="0"/>
              <w:marTop w:val="0"/>
              <w:marBottom w:val="0"/>
              <w:divBdr>
                <w:top w:val="none" w:sz="0" w:space="0" w:color="auto"/>
                <w:left w:val="none" w:sz="0" w:space="0" w:color="auto"/>
                <w:bottom w:val="none" w:sz="0" w:space="0" w:color="auto"/>
                <w:right w:val="none" w:sz="0" w:space="0" w:color="auto"/>
              </w:divBdr>
              <w:divsChild>
                <w:div w:id="16778437">
                  <w:marLeft w:val="0"/>
                  <w:marRight w:val="0"/>
                  <w:marTop w:val="0"/>
                  <w:marBottom w:val="0"/>
                  <w:divBdr>
                    <w:top w:val="none" w:sz="0" w:space="0" w:color="auto"/>
                    <w:left w:val="none" w:sz="0" w:space="0" w:color="auto"/>
                    <w:bottom w:val="none" w:sz="0" w:space="0" w:color="auto"/>
                    <w:right w:val="none" w:sz="0" w:space="0" w:color="auto"/>
                  </w:divBdr>
                  <w:divsChild>
                    <w:div w:id="676465738">
                      <w:marLeft w:val="0"/>
                      <w:marRight w:val="0"/>
                      <w:marTop w:val="0"/>
                      <w:marBottom w:val="0"/>
                      <w:divBdr>
                        <w:top w:val="none" w:sz="0" w:space="0" w:color="auto"/>
                        <w:left w:val="none" w:sz="0" w:space="0" w:color="auto"/>
                        <w:bottom w:val="none" w:sz="0" w:space="0" w:color="auto"/>
                        <w:right w:val="none" w:sz="0" w:space="0" w:color="auto"/>
                      </w:divBdr>
                      <w:divsChild>
                        <w:div w:id="1239291466">
                          <w:marLeft w:val="0"/>
                          <w:marRight w:val="0"/>
                          <w:marTop w:val="0"/>
                          <w:marBottom w:val="0"/>
                          <w:divBdr>
                            <w:top w:val="none" w:sz="0" w:space="0" w:color="auto"/>
                            <w:left w:val="none" w:sz="0" w:space="0" w:color="auto"/>
                            <w:bottom w:val="none" w:sz="0" w:space="0" w:color="auto"/>
                            <w:right w:val="none" w:sz="0" w:space="0" w:color="auto"/>
                          </w:divBdr>
                          <w:divsChild>
                            <w:div w:id="293678692">
                              <w:marLeft w:val="0"/>
                              <w:marRight w:val="0"/>
                              <w:marTop w:val="0"/>
                              <w:marBottom w:val="0"/>
                              <w:divBdr>
                                <w:top w:val="none" w:sz="0" w:space="0" w:color="auto"/>
                                <w:left w:val="none" w:sz="0" w:space="0" w:color="auto"/>
                                <w:bottom w:val="none" w:sz="0" w:space="0" w:color="auto"/>
                                <w:right w:val="none" w:sz="0" w:space="0" w:color="auto"/>
                              </w:divBdr>
                              <w:divsChild>
                                <w:div w:id="543952167">
                                  <w:marLeft w:val="0"/>
                                  <w:marRight w:val="0"/>
                                  <w:marTop w:val="0"/>
                                  <w:marBottom w:val="0"/>
                                  <w:divBdr>
                                    <w:top w:val="none" w:sz="0" w:space="0" w:color="auto"/>
                                    <w:left w:val="none" w:sz="0" w:space="0" w:color="auto"/>
                                    <w:bottom w:val="none" w:sz="0" w:space="0" w:color="auto"/>
                                    <w:right w:val="none" w:sz="0" w:space="0" w:color="auto"/>
                                  </w:divBdr>
                                  <w:divsChild>
                                    <w:div w:id="14659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 w:id="2145732541">
      <w:bodyDiv w:val="1"/>
      <w:marLeft w:val="0"/>
      <w:marRight w:val="0"/>
      <w:marTop w:val="0"/>
      <w:marBottom w:val="0"/>
      <w:divBdr>
        <w:top w:val="none" w:sz="0" w:space="0" w:color="auto"/>
        <w:left w:val="none" w:sz="0" w:space="0" w:color="auto"/>
        <w:bottom w:val="none" w:sz="0" w:space="0" w:color="auto"/>
        <w:right w:val="none" w:sz="0" w:space="0" w:color="auto"/>
      </w:divBdr>
      <w:divsChild>
        <w:div w:id="1779368556">
          <w:marLeft w:val="0"/>
          <w:marRight w:val="0"/>
          <w:marTop w:val="0"/>
          <w:marBottom w:val="0"/>
          <w:divBdr>
            <w:top w:val="none" w:sz="0" w:space="0" w:color="auto"/>
            <w:left w:val="none" w:sz="0" w:space="0" w:color="auto"/>
            <w:bottom w:val="none" w:sz="0" w:space="0" w:color="auto"/>
            <w:right w:val="none" w:sz="0" w:space="0" w:color="auto"/>
          </w:divBdr>
          <w:divsChild>
            <w:div w:id="1909920899">
              <w:marLeft w:val="0"/>
              <w:marRight w:val="0"/>
              <w:marTop w:val="0"/>
              <w:marBottom w:val="0"/>
              <w:divBdr>
                <w:top w:val="none" w:sz="0" w:space="0" w:color="auto"/>
                <w:left w:val="none" w:sz="0" w:space="0" w:color="auto"/>
                <w:bottom w:val="none" w:sz="0" w:space="0" w:color="auto"/>
                <w:right w:val="none" w:sz="0" w:space="0" w:color="auto"/>
              </w:divBdr>
              <w:divsChild>
                <w:div w:id="1605572012">
                  <w:marLeft w:val="0"/>
                  <w:marRight w:val="0"/>
                  <w:marTop w:val="0"/>
                  <w:marBottom w:val="0"/>
                  <w:divBdr>
                    <w:top w:val="none" w:sz="0" w:space="0" w:color="auto"/>
                    <w:left w:val="none" w:sz="0" w:space="0" w:color="auto"/>
                    <w:bottom w:val="none" w:sz="0" w:space="0" w:color="auto"/>
                    <w:right w:val="none" w:sz="0" w:space="0" w:color="auto"/>
                  </w:divBdr>
                  <w:divsChild>
                    <w:div w:id="422527934">
                      <w:marLeft w:val="0"/>
                      <w:marRight w:val="0"/>
                      <w:marTop w:val="0"/>
                      <w:marBottom w:val="0"/>
                      <w:divBdr>
                        <w:top w:val="none" w:sz="0" w:space="0" w:color="auto"/>
                        <w:left w:val="none" w:sz="0" w:space="0" w:color="auto"/>
                        <w:bottom w:val="none" w:sz="0" w:space="0" w:color="auto"/>
                        <w:right w:val="none" w:sz="0" w:space="0" w:color="auto"/>
                      </w:divBdr>
                      <w:divsChild>
                        <w:div w:id="1638946232">
                          <w:marLeft w:val="0"/>
                          <w:marRight w:val="0"/>
                          <w:marTop w:val="0"/>
                          <w:marBottom w:val="0"/>
                          <w:divBdr>
                            <w:top w:val="none" w:sz="0" w:space="0" w:color="auto"/>
                            <w:left w:val="none" w:sz="0" w:space="0" w:color="auto"/>
                            <w:bottom w:val="none" w:sz="0" w:space="0" w:color="auto"/>
                            <w:right w:val="none" w:sz="0" w:space="0" w:color="auto"/>
                          </w:divBdr>
                          <w:divsChild>
                            <w:div w:id="1952663513">
                              <w:marLeft w:val="0"/>
                              <w:marRight w:val="0"/>
                              <w:marTop w:val="0"/>
                              <w:marBottom w:val="0"/>
                              <w:divBdr>
                                <w:top w:val="none" w:sz="0" w:space="0" w:color="auto"/>
                                <w:left w:val="none" w:sz="0" w:space="0" w:color="auto"/>
                                <w:bottom w:val="none" w:sz="0" w:space="0" w:color="auto"/>
                                <w:right w:val="none" w:sz="0" w:space="0" w:color="auto"/>
                              </w:divBdr>
                              <w:divsChild>
                                <w:div w:id="713699394">
                                  <w:marLeft w:val="0"/>
                                  <w:marRight w:val="0"/>
                                  <w:marTop w:val="0"/>
                                  <w:marBottom w:val="0"/>
                                  <w:divBdr>
                                    <w:top w:val="none" w:sz="0" w:space="0" w:color="auto"/>
                                    <w:left w:val="none" w:sz="0" w:space="0" w:color="auto"/>
                                    <w:bottom w:val="none" w:sz="0" w:space="0" w:color="auto"/>
                                    <w:right w:val="none" w:sz="0" w:space="0" w:color="auto"/>
                                  </w:divBdr>
                                  <w:divsChild>
                                    <w:div w:id="735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80065/20190220_AssessingMonitoringEconomicFinancialStandingGuidanceNot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7B0F-CD23-4545-B98D-5898D93F5C99}">
  <ds:schemaRefs>
    <ds:schemaRef ds:uri="http://schemas.microsoft.com/sharepoint/v3/contenttype/forms"/>
  </ds:schemaRefs>
</ds:datastoreItem>
</file>

<file path=customXml/itemProps2.xml><?xml version="1.0" encoding="utf-8"?>
<ds:datastoreItem xmlns:ds="http://schemas.openxmlformats.org/officeDocument/2006/customXml" ds:itemID="{F31FB766-74DB-43B5-BF24-F2310747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3F13D-782F-4222-9F9D-50D3E77DBD70}">
  <ds:schemaRefs>
    <ds:schemaRef ds:uri="http://purl.org/dc/elements/1.1/"/>
    <ds:schemaRef ds:uri="http://schemas.microsoft.com/office/2006/documentManagement/types"/>
    <ds:schemaRef ds:uri="http://purl.org/dc/terms/"/>
    <ds:schemaRef ds:uri="0c42e574-eb01-412a-abec-28d17bedca05"/>
    <ds:schemaRef ds:uri="1c8a0e75-f4bc-4eb4-8ed0-578eaea9e1c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4DCC7E7-61B5-4097-B713-BA8764FC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21B8E2B5</Template>
  <TotalTime>37</TotalTime>
  <Pages>5</Pages>
  <Words>1345</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Alexander Saul</cp:lastModifiedBy>
  <cp:revision>12</cp:revision>
  <cp:lastPrinted>2019-02-11T09:15:00Z</cp:lastPrinted>
  <dcterms:created xsi:type="dcterms:W3CDTF">2019-03-19T17:10:00Z</dcterms:created>
  <dcterms:modified xsi:type="dcterms:W3CDTF">2019-03-21T11:18:00Z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0x01010049E366FC758FB349B61FADA5CB2EE558</vt:lpwstr>
  </property>
</Properties>
</file>